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0A0" w:rsidRPr="008279CF" w:rsidRDefault="007A50A0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DC1A5C" w:rsidRDefault="00DC1A5C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E75B98" w:rsidRDefault="00E75B98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AB40FA" w:rsidRDefault="00AB40FA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AB40FA" w:rsidRDefault="00AB40FA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E75B98" w:rsidRDefault="00E75B98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DC1A5C" w:rsidRPr="003F5083" w:rsidRDefault="00DC1A5C" w:rsidP="000A7960">
      <w:pPr>
        <w:spacing w:after="0"/>
        <w:jc w:val="center"/>
        <w:outlineLvl w:val="0"/>
        <w:rPr>
          <w:rFonts w:ascii="Liberation Sans Narrow" w:hAnsi="Liberation Sans Narrow" w:cs="Consolas"/>
          <w:sz w:val="24"/>
          <w:szCs w:val="24"/>
        </w:rPr>
      </w:pPr>
      <w:r w:rsidRPr="003F5083">
        <w:rPr>
          <w:rFonts w:ascii="Liberation Sans Narrow" w:hAnsi="Liberation Sans Narrow" w:cs="Consolas"/>
          <w:sz w:val="24"/>
          <w:szCs w:val="24"/>
        </w:rPr>
        <w:t>ОБОСНОВКА</w:t>
      </w:r>
    </w:p>
    <w:p w:rsidR="00DC1A5C" w:rsidRPr="003F5083" w:rsidRDefault="001919E2" w:rsidP="000A7960">
      <w:pPr>
        <w:spacing w:after="0"/>
        <w:jc w:val="center"/>
        <w:outlineLvl w:val="0"/>
        <w:rPr>
          <w:rFonts w:ascii="Liberation Sans Narrow" w:hAnsi="Liberation Sans Narrow" w:cs="Consolas"/>
          <w:sz w:val="24"/>
          <w:szCs w:val="24"/>
        </w:rPr>
      </w:pPr>
      <w:r w:rsidRPr="003F5083">
        <w:rPr>
          <w:rFonts w:ascii="Liberation Sans Narrow" w:hAnsi="Liberation Sans Narrow" w:cs="Consolas"/>
          <w:sz w:val="24"/>
          <w:szCs w:val="24"/>
        </w:rPr>
        <w:t>н</w:t>
      </w:r>
      <w:r w:rsidR="00DC1A5C" w:rsidRPr="003F5083">
        <w:rPr>
          <w:rFonts w:ascii="Liberation Sans Narrow" w:hAnsi="Liberation Sans Narrow" w:cs="Consolas"/>
          <w:sz w:val="24"/>
          <w:szCs w:val="24"/>
        </w:rPr>
        <w:t xml:space="preserve">а прогнозните разходи към предложението за утвърждаване </w:t>
      </w:r>
    </w:p>
    <w:p w:rsidR="00DC1A5C" w:rsidRPr="003F5083" w:rsidRDefault="00DC1A5C" w:rsidP="000A7960">
      <w:pPr>
        <w:spacing w:after="0"/>
        <w:jc w:val="center"/>
        <w:outlineLvl w:val="0"/>
        <w:rPr>
          <w:rFonts w:ascii="Liberation Sans Narrow" w:hAnsi="Liberation Sans Narrow" w:cs="Consolas"/>
          <w:sz w:val="24"/>
          <w:szCs w:val="24"/>
        </w:rPr>
      </w:pPr>
      <w:r w:rsidRPr="003F5083">
        <w:rPr>
          <w:rFonts w:ascii="Liberation Sans Narrow" w:hAnsi="Liberation Sans Narrow" w:cs="Consolas"/>
          <w:sz w:val="24"/>
          <w:szCs w:val="24"/>
        </w:rPr>
        <w:t>цени на електрическа и топлинна енергия</w:t>
      </w:r>
    </w:p>
    <w:p w:rsidR="00DC1A5C" w:rsidRDefault="00DC1A5C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AB40FA" w:rsidRPr="003F5083" w:rsidRDefault="00AB40FA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2D5B22" w:rsidRPr="005625BF" w:rsidRDefault="00F01444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3F5083">
        <w:rPr>
          <w:rFonts w:ascii="Liberation Sans Narrow" w:hAnsi="Liberation Sans Narrow" w:cs="Consolas"/>
          <w:sz w:val="24"/>
          <w:szCs w:val="24"/>
        </w:rPr>
        <w:tab/>
      </w:r>
      <w:r w:rsidRPr="005625BF">
        <w:rPr>
          <w:rFonts w:ascii="Liberation Sans Narrow" w:hAnsi="Liberation Sans Narrow" w:cs="Consolas"/>
          <w:sz w:val="24"/>
          <w:szCs w:val="24"/>
        </w:rPr>
        <w:t>Като база за изготвяне на прогнозата за формирането на цените на топлинната енергия и електрическата енергия от комбинирано производство за новия регулаторен период започващ от 01 Юли 201</w:t>
      </w:r>
      <w:r w:rsidR="001F6A4B" w:rsidRPr="005625BF">
        <w:rPr>
          <w:rFonts w:ascii="Liberation Sans Narrow" w:hAnsi="Liberation Sans Narrow" w:cs="Consolas"/>
          <w:sz w:val="24"/>
          <w:szCs w:val="24"/>
        </w:rPr>
        <w:t>6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г., използвана отчетната информация за 201</w:t>
      </w:r>
      <w:r w:rsidR="00213437" w:rsidRPr="005625BF">
        <w:rPr>
          <w:rFonts w:ascii="Liberation Sans Narrow" w:hAnsi="Liberation Sans Narrow" w:cs="Consolas"/>
          <w:sz w:val="24"/>
          <w:szCs w:val="24"/>
        </w:rPr>
        <w:t>5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г.. В предвид отчетения от НСИ н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>исък процент на инфлация за 201</w:t>
      </w:r>
      <w:r w:rsidR="00213437" w:rsidRPr="005625BF">
        <w:rPr>
          <w:rFonts w:ascii="Liberation Sans Narrow" w:hAnsi="Liberation Sans Narrow" w:cs="Consolas"/>
          <w:sz w:val="24"/>
          <w:szCs w:val="24"/>
        </w:rPr>
        <w:t>5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г., както и </w:t>
      </w:r>
      <w:r w:rsidR="0027039B" w:rsidRPr="005625BF">
        <w:rPr>
          <w:rFonts w:ascii="Liberation Sans Narrow" w:hAnsi="Liberation Sans Narrow" w:cs="Consolas"/>
          <w:sz w:val="24"/>
          <w:szCs w:val="24"/>
        </w:rPr>
        <w:t xml:space="preserve">предположението ни, че 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 xml:space="preserve">през периода от 01 Юли </w:t>
      </w:r>
      <w:r w:rsidR="0027039B" w:rsidRPr="005625BF">
        <w:rPr>
          <w:rFonts w:ascii="Liberation Sans Narrow" w:hAnsi="Liberation Sans Narrow" w:cs="Consolas"/>
          <w:sz w:val="24"/>
          <w:szCs w:val="24"/>
        </w:rPr>
        <w:t>201</w:t>
      </w:r>
      <w:r w:rsidR="00213437" w:rsidRPr="005625BF">
        <w:rPr>
          <w:rFonts w:ascii="Liberation Sans Narrow" w:hAnsi="Liberation Sans Narrow" w:cs="Consolas"/>
          <w:sz w:val="24"/>
          <w:szCs w:val="24"/>
        </w:rPr>
        <w:t>6</w:t>
      </w:r>
      <w:r w:rsidR="0027039B" w:rsidRPr="005625BF">
        <w:rPr>
          <w:rFonts w:ascii="Liberation Sans Narrow" w:hAnsi="Liberation Sans Narrow" w:cs="Consolas"/>
          <w:sz w:val="24"/>
          <w:szCs w:val="24"/>
        </w:rPr>
        <w:t xml:space="preserve"> г. 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>до 30 Юни 201</w:t>
      </w:r>
      <w:r w:rsidR="00213437" w:rsidRPr="005625BF">
        <w:rPr>
          <w:rFonts w:ascii="Liberation Sans Narrow" w:hAnsi="Liberation Sans Narrow" w:cs="Consolas"/>
          <w:sz w:val="24"/>
          <w:szCs w:val="24"/>
        </w:rPr>
        <w:t>7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 xml:space="preserve"> г. </w:t>
      </w:r>
      <w:r w:rsidR="0027039B" w:rsidRPr="005625BF">
        <w:rPr>
          <w:rFonts w:ascii="Liberation Sans Narrow" w:hAnsi="Liberation Sans Narrow" w:cs="Consolas"/>
          <w:sz w:val="24"/>
          <w:szCs w:val="24"/>
        </w:rPr>
        <w:t xml:space="preserve"> не се очаква влиянието на външни фактори който драстично да повлияят върху дейността на дружеството /рязко увеличение цените на горивата, резервни части и консумативи, химикали и реагенти и аварийни ситуации изискващи значителен паричен ресурс/</w:t>
      </w:r>
      <w:r w:rsidR="003B4DA7" w:rsidRPr="005625BF">
        <w:rPr>
          <w:rFonts w:ascii="Liberation Sans Narrow" w:hAnsi="Liberation Sans Narrow" w:cs="Consolas"/>
          <w:sz w:val="24"/>
          <w:szCs w:val="24"/>
        </w:rPr>
        <w:t xml:space="preserve">, разчетените прогнозни разходи са съпоставими с отчетените такива през предходната година. 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>У</w:t>
      </w:r>
      <w:r w:rsidR="003B4DA7" w:rsidRPr="005625BF">
        <w:rPr>
          <w:rFonts w:ascii="Liberation Sans Narrow" w:hAnsi="Liberation Sans Narrow" w:cs="Consolas"/>
          <w:sz w:val="24"/>
          <w:szCs w:val="24"/>
        </w:rPr>
        <w:t xml:space="preserve">величение е извършено само за </w:t>
      </w:r>
      <w:r w:rsidR="00240130" w:rsidRPr="005625BF">
        <w:rPr>
          <w:rFonts w:ascii="Liberation Sans Narrow" w:hAnsi="Liberation Sans Narrow" w:cs="Consolas"/>
          <w:sz w:val="24"/>
          <w:szCs w:val="24"/>
        </w:rPr>
        <w:t xml:space="preserve">разходите 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 xml:space="preserve">за </w:t>
      </w:r>
      <w:r w:rsidR="00240130" w:rsidRPr="005625BF">
        <w:rPr>
          <w:rFonts w:ascii="Liberation Sans Narrow" w:hAnsi="Liberation Sans Narrow" w:cs="Consolas"/>
          <w:sz w:val="24"/>
          <w:szCs w:val="24"/>
        </w:rPr>
        <w:t>които е на лице обективна причина за промяната им. По групи, разходите са, както следва:</w:t>
      </w:r>
    </w:p>
    <w:p w:rsidR="00F01444" w:rsidRPr="005625BF" w:rsidRDefault="00F01444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E01543" w:rsidRPr="005625BF" w:rsidRDefault="001919E2" w:rsidP="00832328">
      <w:pPr>
        <w:pStyle w:val="a8"/>
        <w:numPr>
          <w:ilvl w:val="0"/>
          <w:numId w:val="2"/>
        </w:numPr>
        <w:spacing w:after="0"/>
        <w:ind w:left="1134" w:hanging="429"/>
        <w:jc w:val="both"/>
        <w:rPr>
          <w:rFonts w:ascii="Liberation Sans Narrow" w:hAnsi="Liberation Sans Narrow" w:cs="Consolas"/>
          <w:b/>
          <w:sz w:val="24"/>
          <w:szCs w:val="24"/>
          <w:u w:val="single"/>
        </w:rPr>
      </w:pPr>
      <w:r w:rsidRPr="005625BF">
        <w:rPr>
          <w:rFonts w:ascii="Liberation Sans Narrow" w:hAnsi="Liberation Sans Narrow" w:cs="Consolas"/>
          <w:b/>
          <w:sz w:val="24"/>
          <w:szCs w:val="24"/>
          <w:u w:val="single"/>
        </w:rPr>
        <w:t>Условно постоянните разходи</w:t>
      </w:r>
    </w:p>
    <w:p w:rsidR="00DC1A5C" w:rsidRPr="005625BF" w:rsidRDefault="00D15B47" w:rsidP="00E01543">
      <w:pPr>
        <w:pStyle w:val="a8"/>
        <w:spacing w:after="0"/>
        <w:ind w:left="1134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>Прогнозата на условно постоянните разходи за новия регулаторен период е изготвена на</w:t>
      </w:r>
      <w:r w:rsidR="001919E2" w:rsidRPr="005625BF">
        <w:rPr>
          <w:rFonts w:ascii="Liberation Sans Narrow" w:hAnsi="Liberation Sans Narrow" w:cs="Consolas"/>
          <w:sz w:val="24"/>
          <w:szCs w:val="24"/>
        </w:rPr>
        <w:t xml:space="preserve"> база отчет</w:t>
      </w:r>
      <w:r w:rsidRPr="005625BF">
        <w:rPr>
          <w:rFonts w:ascii="Liberation Sans Narrow" w:hAnsi="Liberation Sans Narrow" w:cs="Consolas"/>
          <w:sz w:val="24"/>
          <w:szCs w:val="24"/>
        </w:rPr>
        <w:t>ни данни към</w:t>
      </w:r>
      <w:r w:rsidR="001919E2" w:rsidRPr="005625BF">
        <w:rPr>
          <w:rFonts w:ascii="Liberation Sans Narrow" w:hAnsi="Liberation Sans Narrow" w:cs="Consolas"/>
          <w:sz w:val="24"/>
          <w:szCs w:val="24"/>
        </w:rPr>
        <w:t xml:space="preserve"> 31.12.201</w:t>
      </w:r>
      <w:r w:rsidR="00200C1B" w:rsidRPr="005625BF">
        <w:rPr>
          <w:rFonts w:ascii="Liberation Sans Narrow" w:hAnsi="Liberation Sans Narrow" w:cs="Consolas"/>
          <w:sz w:val="24"/>
          <w:szCs w:val="24"/>
          <w:lang w:val="en-US"/>
        </w:rPr>
        <w:t>5</w:t>
      </w:r>
      <w:r w:rsidR="001919E2" w:rsidRPr="005625BF">
        <w:rPr>
          <w:rFonts w:ascii="Liberation Sans Narrow" w:hAnsi="Liberation Sans Narrow" w:cs="Consolas"/>
          <w:sz w:val="24"/>
          <w:szCs w:val="24"/>
        </w:rPr>
        <w:t xml:space="preserve"> г., 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и очакваните промени по видове разходи за прогнозния период , </w:t>
      </w:r>
      <w:r w:rsidR="001919E2" w:rsidRPr="005625BF">
        <w:rPr>
          <w:rFonts w:ascii="Liberation Sans Narrow" w:hAnsi="Liberation Sans Narrow" w:cs="Consolas"/>
          <w:sz w:val="24"/>
          <w:szCs w:val="24"/>
        </w:rPr>
        <w:t>в това число:</w:t>
      </w:r>
    </w:p>
    <w:p w:rsidR="001919E2" w:rsidRPr="005625BF" w:rsidRDefault="001919E2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605970" w:rsidRPr="005625BF" w:rsidRDefault="001919E2" w:rsidP="001E0C1E">
      <w:pPr>
        <w:pStyle w:val="a8"/>
        <w:numPr>
          <w:ilvl w:val="0"/>
          <w:numId w:val="1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 xml:space="preserve">Разходи за </w:t>
      </w:r>
      <w:r w:rsidR="00B74F8F" w:rsidRPr="005625BF">
        <w:rPr>
          <w:rFonts w:ascii="Liberation Sans Narrow" w:hAnsi="Liberation Sans Narrow" w:cs="Consolas"/>
          <w:sz w:val="24"/>
          <w:szCs w:val="24"/>
        </w:rPr>
        <w:t xml:space="preserve">амортизации са </w:t>
      </w:r>
      <w:r w:rsidR="00832328" w:rsidRPr="005625BF">
        <w:rPr>
          <w:rFonts w:ascii="Liberation Sans Narrow" w:hAnsi="Liberation Sans Narrow" w:cs="Consolas"/>
          <w:sz w:val="24"/>
          <w:szCs w:val="24"/>
        </w:rPr>
        <w:t xml:space="preserve">определени </w:t>
      </w:r>
      <w:r w:rsidR="00B74F8F" w:rsidRPr="005625BF">
        <w:rPr>
          <w:rFonts w:ascii="Liberation Sans Narrow" w:hAnsi="Liberation Sans Narrow" w:cs="Consolas"/>
          <w:sz w:val="24"/>
          <w:szCs w:val="24"/>
        </w:rPr>
        <w:t xml:space="preserve">на основата на амортизационен план изготвен </w:t>
      </w:r>
      <w:r w:rsidR="00240130" w:rsidRPr="005625BF">
        <w:rPr>
          <w:rFonts w:ascii="Liberation Sans Narrow" w:hAnsi="Liberation Sans Narrow" w:cs="Consolas"/>
          <w:sz w:val="24"/>
          <w:szCs w:val="24"/>
        </w:rPr>
        <w:t>в съответствие с</w:t>
      </w:r>
      <w:r w:rsidR="00D15B47" w:rsidRPr="005625BF">
        <w:rPr>
          <w:rFonts w:ascii="Liberation Sans Narrow" w:hAnsi="Liberation Sans Narrow" w:cs="Consolas"/>
          <w:sz w:val="24"/>
          <w:szCs w:val="24"/>
        </w:rPr>
        <w:t>очаквания полезен живот</w:t>
      </w:r>
      <w:r w:rsidR="00240130" w:rsidRPr="005625BF">
        <w:rPr>
          <w:rFonts w:ascii="Liberation Sans Narrow" w:hAnsi="Liberation Sans Narrow" w:cs="Consolas"/>
          <w:sz w:val="24"/>
          <w:szCs w:val="24"/>
        </w:rPr>
        <w:t xml:space="preserve"> съгласно изискванията на МСС. Всравнение с отчетените разходи за 201</w:t>
      </w:r>
      <w:r w:rsidR="00200C1B" w:rsidRPr="005625BF">
        <w:rPr>
          <w:rFonts w:ascii="Liberation Sans Narrow" w:hAnsi="Liberation Sans Narrow" w:cs="Consolas"/>
          <w:sz w:val="24"/>
          <w:szCs w:val="24"/>
          <w:lang w:val="en-US"/>
        </w:rPr>
        <w:t>5</w:t>
      </w:r>
      <w:r w:rsidR="00240130" w:rsidRPr="005625BF">
        <w:rPr>
          <w:rFonts w:ascii="Liberation Sans Narrow" w:hAnsi="Liberation Sans Narrow" w:cs="Consolas"/>
          <w:sz w:val="24"/>
          <w:szCs w:val="24"/>
        </w:rPr>
        <w:t xml:space="preserve"> г., за новия регулаторен период </w:t>
      </w:r>
      <w:r w:rsidR="00200C1B" w:rsidRPr="005625BF">
        <w:rPr>
          <w:rFonts w:ascii="Liberation Sans Narrow" w:hAnsi="Liberation Sans Narrow" w:cs="Consolas"/>
          <w:sz w:val="24"/>
          <w:szCs w:val="24"/>
          <w:lang w:val="en-US"/>
        </w:rPr>
        <w:t xml:space="preserve">има увеличение на разходите за амортизации 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 xml:space="preserve">в резултат на </w:t>
      </w:r>
      <w:r w:rsidR="00200C1B" w:rsidRPr="005625BF">
        <w:rPr>
          <w:rFonts w:ascii="Liberation Sans Narrow" w:hAnsi="Liberation Sans Narrow" w:cs="Consolas"/>
          <w:sz w:val="24"/>
          <w:szCs w:val="24"/>
        </w:rPr>
        <w:t xml:space="preserve">увеличение стойността на </w:t>
      </w:r>
      <w:r w:rsidR="00067392" w:rsidRPr="005625BF">
        <w:rPr>
          <w:rFonts w:ascii="Liberation Sans Narrow" w:hAnsi="Liberation Sans Narrow" w:cs="Consolas"/>
          <w:sz w:val="24"/>
          <w:szCs w:val="24"/>
        </w:rPr>
        <w:t>дълготрайните</w:t>
      </w:r>
      <w:r w:rsidR="00200C1B" w:rsidRPr="005625BF">
        <w:rPr>
          <w:rFonts w:ascii="Liberation Sans Narrow" w:hAnsi="Liberation Sans Narrow" w:cs="Consolas"/>
          <w:sz w:val="24"/>
          <w:szCs w:val="24"/>
        </w:rPr>
        <w:t xml:space="preserve"> активи в следс</w:t>
      </w:r>
      <w:r w:rsidR="00067392" w:rsidRPr="005625BF">
        <w:rPr>
          <w:rFonts w:ascii="Liberation Sans Narrow" w:hAnsi="Liberation Sans Narrow" w:cs="Consolas"/>
          <w:sz w:val="24"/>
          <w:szCs w:val="24"/>
        </w:rPr>
        <w:t>т</w:t>
      </w:r>
      <w:r w:rsidR="00200C1B" w:rsidRPr="005625BF">
        <w:rPr>
          <w:rFonts w:ascii="Liberation Sans Narrow" w:hAnsi="Liberation Sans Narrow" w:cs="Consolas"/>
          <w:sz w:val="24"/>
          <w:szCs w:val="24"/>
        </w:rPr>
        <w:t>вие на отчетени разходи за основни ремонти</w:t>
      </w:r>
      <w:r w:rsidR="00067392" w:rsidRPr="005625BF">
        <w:rPr>
          <w:rFonts w:ascii="Liberation Sans Narrow" w:hAnsi="Liberation Sans Narrow" w:cs="Consolas"/>
          <w:sz w:val="24"/>
          <w:szCs w:val="24"/>
        </w:rPr>
        <w:t xml:space="preserve">, както и във връзка с  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>новопридоби</w:t>
      </w:r>
      <w:r w:rsidR="00067392" w:rsidRPr="005625BF">
        <w:rPr>
          <w:rFonts w:ascii="Liberation Sans Narrow" w:hAnsi="Liberation Sans Narrow" w:cs="Consolas"/>
          <w:sz w:val="24"/>
          <w:szCs w:val="24"/>
        </w:rPr>
        <w:t>ти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 xml:space="preserve"> през 201</w:t>
      </w:r>
      <w:r w:rsidR="00067392" w:rsidRPr="005625BF">
        <w:rPr>
          <w:rFonts w:ascii="Liberation Sans Narrow" w:hAnsi="Liberation Sans Narrow" w:cs="Consolas"/>
          <w:sz w:val="24"/>
          <w:szCs w:val="24"/>
        </w:rPr>
        <w:t>5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 xml:space="preserve"> г. амортизуеми активи.</w:t>
      </w:r>
    </w:p>
    <w:p w:rsidR="004118A8" w:rsidRPr="005625BF" w:rsidRDefault="00832328" w:rsidP="001E0C1E">
      <w:pPr>
        <w:pStyle w:val="a8"/>
        <w:numPr>
          <w:ilvl w:val="0"/>
          <w:numId w:val="1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 xml:space="preserve">Разходите за ремонт са прогнозирани на база изготвената и утвърдена ремонтна програма за </w:t>
      </w:r>
      <w:r w:rsidR="009E53A6" w:rsidRPr="005625BF">
        <w:rPr>
          <w:rFonts w:ascii="Liberation Sans Narrow" w:hAnsi="Liberation Sans Narrow" w:cs="Consolas"/>
          <w:sz w:val="24"/>
          <w:szCs w:val="24"/>
        </w:rPr>
        <w:t>ценовия период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в дружеството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 xml:space="preserve">. </w:t>
      </w:r>
      <w:r w:rsidR="004118A8" w:rsidRPr="005625BF">
        <w:rPr>
          <w:rFonts w:ascii="Liberation Sans Narrow" w:hAnsi="Liberation Sans Narrow" w:cs="Consolas"/>
          <w:sz w:val="24"/>
          <w:szCs w:val="24"/>
        </w:rPr>
        <w:t>Увеличението спрямо отчета за предходната година е значително и се дължи на следните фактори:</w:t>
      </w:r>
    </w:p>
    <w:p w:rsidR="00BF2210" w:rsidRPr="005625BF" w:rsidRDefault="009E53A6" w:rsidP="004118A8">
      <w:pPr>
        <w:pStyle w:val="a8"/>
        <w:numPr>
          <w:ilvl w:val="1"/>
          <w:numId w:val="1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>Р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>емонт</w:t>
      </w:r>
      <w:r w:rsidRPr="005625BF">
        <w:rPr>
          <w:rFonts w:ascii="Liberation Sans Narrow" w:hAnsi="Liberation Sans Narrow" w:cs="Consolas"/>
          <w:sz w:val="24"/>
          <w:szCs w:val="24"/>
        </w:rPr>
        <w:t>ът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 xml:space="preserve"> на газови</w:t>
      </w:r>
      <w:r w:rsidR="00BF2210" w:rsidRPr="005625BF">
        <w:rPr>
          <w:rFonts w:ascii="Liberation Sans Narrow" w:hAnsi="Liberation Sans Narrow" w:cs="Consolas"/>
          <w:sz w:val="24"/>
          <w:szCs w:val="24"/>
        </w:rPr>
        <w:t>я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 xml:space="preserve"> двигател в </w:t>
      </w:r>
      <w:r w:rsidR="00BF2210" w:rsidRPr="005625BF">
        <w:rPr>
          <w:rFonts w:ascii="Liberation Sans Narrow" w:hAnsi="Liberation Sans Narrow" w:cs="Consolas"/>
          <w:sz w:val="24"/>
          <w:szCs w:val="24"/>
        </w:rPr>
        <w:t>ОЦ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„</w:t>
      </w:r>
      <w:r w:rsidR="00BF2210" w:rsidRPr="005625BF">
        <w:rPr>
          <w:rFonts w:ascii="Liberation Sans Narrow" w:hAnsi="Liberation Sans Narrow" w:cs="Consolas"/>
          <w:sz w:val="24"/>
          <w:szCs w:val="24"/>
        </w:rPr>
        <w:t>Младост</w:t>
      </w:r>
      <w:r w:rsidRPr="005625BF">
        <w:rPr>
          <w:rFonts w:ascii="Liberation Sans Narrow" w:hAnsi="Liberation Sans Narrow" w:cs="Consolas"/>
          <w:sz w:val="24"/>
          <w:szCs w:val="24"/>
        </w:rPr>
        <w:t>”</w:t>
      </w:r>
      <w:r w:rsidR="00605970" w:rsidRPr="005625BF">
        <w:rPr>
          <w:rFonts w:ascii="Liberation Sans Narrow" w:hAnsi="Liberation Sans Narrow" w:cs="Consolas"/>
          <w:sz w:val="24"/>
          <w:szCs w:val="24"/>
        </w:rPr>
        <w:t xml:space="preserve"> на 30 х. часа съгласно</w:t>
      </w:r>
      <w:r w:rsidR="004118A8" w:rsidRPr="005625BF">
        <w:rPr>
          <w:rFonts w:ascii="Liberation Sans Narrow" w:hAnsi="Liberation Sans Narrow" w:cs="Consolas"/>
          <w:sz w:val="24"/>
          <w:szCs w:val="24"/>
        </w:rPr>
        <w:t xml:space="preserve"> предписанието на производителя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беше извършен в периода ноември – декември 2015г.</w:t>
      </w:r>
      <w:r w:rsidR="004118A8" w:rsidRPr="005625BF">
        <w:rPr>
          <w:rFonts w:ascii="Liberation Sans Narrow" w:hAnsi="Liberation Sans Narrow" w:cs="Consolas"/>
          <w:sz w:val="24"/>
          <w:szCs w:val="24"/>
        </w:rPr>
        <w:t xml:space="preserve"> Ремонта </w:t>
      </w:r>
      <w:r w:rsidRPr="005625BF">
        <w:rPr>
          <w:rFonts w:ascii="Liberation Sans Narrow" w:hAnsi="Liberation Sans Narrow" w:cs="Consolas"/>
          <w:sz w:val="24"/>
          <w:szCs w:val="24"/>
        </w:rPr>
        <w:t>б</w:t>
      </w:r>
      <w:r w:rsidR="004118A8" w:rsidRPr="005625BF">
        <w:rPr>
          <w:rFonts w:ascii="Liberation Sans Narrow" w:hAnsi="Liberation Sans Narrow" w:cs="Consolas"/>
          <w:sz w:val="24"/>
          <w:szCs w:val="24"/>
        </w:rPr>
        <w:t>е</w:t>
      </w:r>
      <w:r w:rsidRPr="005625BF">
        <w:rPr>
          <w:rFonts w:ascii="Liberation Sans Narrow" w:hAnsi="Liberation Sans Narrow" w:cs="Consolas"/>
          <w:sz w:val="24"/>
          <w:szCs w:val="24"/>
        </w:rPr>
        <w:t>ше</w:t>
      </w:r>
      <w:r w:rsidR="004118A8" w:rsidRPr="005625BF">
        <w:rPr>
          <w:rFonts w:ascii="Liberation Sans Narrow" w:hAnsi="Liberation Sans Narrow" w:cs="Consolas"/>
          <w:sz w:val="24"/>
          <w:szCs w:val="24"/>
        </w:rPr>
        <w:t xml:space="preserve"> наложителен и не може</w:t>
      </w:r>
      <w:r w:rsidRPr="005625BF">
        <w:rPr>
          <w:rFonts w:ascii="Liberation Sans Narrow" w:hAnsi="Liberation Sans Narrow" w:cs="Consolas"/>
          <w:sz w:val="24"/>
          <w:szCs w:val="24"/>
        </w:rPr>
        <w:t>ше</w:t>
      </w:r>
      <w:r w:rsidR="004118A8" w:rsidRPr="005625BF">
        <w:rPr>
          <w:rFonts w:ascii="Liberation Sans Narrow" w:hAnsi="Liberation Sans Narrow" w:cs="Consolas"/>
          <w:sz w:val="24"/>
          <w:szCs w:val="24"/>
        </w:rPr>
        <w:t xml:space="preserve"> да бъде прескочен п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оради влошеното състоянието на двигателя, но в новия ценови период предстоят </w:t>
      </w:r>
      <w:r w:rsidR="00EC3296">
        <w:rPr>
          <w:rFonts w:ascii="Liberation Sans Narrow" w:hAnsi="Liberation Sans Narrow" w:cs="Consolas"/>
          <w:sz w:val="24"/>
          <w:szCs w:val="24"/>
        </w:rPr>
        <w:t xml:space="preserve">плащания 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</w:t>
      </w:r>
      <w:r w:rsidR="00EC3296">
        <w:rPr>
          <w:rFonts w:ascii="Liberation Sans Narrow" w:hAnsi="Liberation Sans Narrow" w:cs="Consolas"/>
          <w:sz w:val="24"/>
          <w:szCs w:val="24"/>
        </w:rPr>
        <w:t>за техническо обслужване на база работни часове, без аварийни ремонти, като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това е отразено в ремонтната програма ( приложение 1), както и </w:t>
      </w:r>
      <w:r w:rsidR="00EC3296">
        <w:rPr>
          <w:rFonts w:ascii="Liberation Sans Narrow" w:hAnsi="Liberation Sans Narrow" w:cs="Consolas"/>
          <w:sz w:val="24"/>
          <w:szCs w:val="24"/>
        </w:rPr>
        <w:t xml:space="preserve">в 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договора </w:t>
      </w:r>
      <w:r w:rsidR="00EC3296">
        <w:rPr>
          <w:rFonts w:ascii="Liberation Sans Narrow" w:hAnsi="Liberation Sans Narrow" w:cs="Consolas"/>
          <w:sz w:val="24"/>
          <w:szCs w:val="24"/>
        </w:rPr>
        <w:t xml:space="preserve">и офертата </w:t>
      </w:r>
      <w:r w:rsidRPr="005625BF">
        <w:rPr>
          <w:rFonts w:ascii="Liberation Sans Narrow" w:hAnsi="Liberation Sans Narrow" w:cs="Consolas"/>
          <w:sz w:val="24"/>
          <w:szCs w:val="24"/>
        </w:rPr>
        <w:t>за обслужването ( Приложение 2</w:t>
      </w:r>
      <w:r w:rsidR="00EC3296">
        <w:rPr>
          <w:rFonts w:ascii="Liberation Sans Narrow" w:hAnsi="Liberation Sans Narrow" w:cs="Consolas"/>
          <w:sz w:val="24"/>
          <w:szCs w:val="24"/>
        </w:rPr>
        <w:t>.1 и 2.2.</w:t>
      </w:r>
      <w:r w:rsidRPr="005625BF">
        <w:rPr>
          <w:rFonts w:ascii="Liberation Sans Narrow" w:hAnsi="Liberation Sans Narrow" w:cs="Consolas"/>
          <w:sz w:val="24"/>
          <w:szCs w:val="24"/>
        </w:rPr>
        <w:t>).</w:t>
      </w:r>
    </w:p>
    <w:p w:rsidR="00EC0499" w:rsidRPr="005625BF" w:rsidRDefault="00EC0499" w:rsidP="004A6F2A">
      <w:pPr>
        <w:pStyle w:val="a8"/>
        <w:numPr>
          <w:ilvl w:val="1"/>
          <w:numId w:val="1"/>
        </w:numPr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lastRenderedPageBreak/>
        <w:t xml:space="preserve">Предстоящия ремонт на газовите двигатели в ТЕЦ Градска на </w:t>
      </w:r>
      <w:r w:rsidR="009E53A6" w:rsidRPr="005625BF">
        <w:rPr>
          <w:rFonts w:ascii="Liberation Sans Narrow" w:hAnsi="Liberation Sans Narrow" w:cs="Consolas"/>
          <w:sz w:val="24"/>
          <w:szCs w:val="24"/>
        </w:rPr>
        <w:t>2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0 х. часа за </w:t>
      </w:r>
      <w:r w:rsidR="009E53A6" w:rsidRPr="005625BF">
        <w:rPr>
          <w:rFonts w:ascii="Liberation Sans Narrow" w:hAnsi="Liberation Sans Narrow" w:cs="Consolas"/>
          <w:sz w:val="24"/>
          <w:szCs w:val="24"/>
        </w:rPr>
        <w:t>когенератор 1 на 10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х. часа за </w:t>
      </w:r>
      <w:r w:rsidR="009E53A6" w:rsidRPr="005625BF">
        <w:rPr>
          <w:rFonts w:ascii="Liberation Sans Narrow" w:hAnsi="Liberation Sans Narrow" w:cs="Consolas"/>
          <w:sz w:val="24"/>
          <w:szCs w:val="24"/>
        </w:rPr>
        <w:t>ко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генератор 2 съгласно предписанието на производителя. Ремонтите ще гарантират безаварийна работа през следващия отоплителен сезон. необходимата топлинна енергия за топлопреносната система. Стойността на </w:t>
      </w:r>
      <w:r w:rsidR="00F43936" w:rsidRPr="005625BF">
        <w:rPr>
          <w:rFonts w:ascii="Liberation Sans Narrow" w:hAnsi="Liberation Sans Narrow" w:cs="Consolas"/>
          <w:sz w:val="24"/>
          <w:szCs w:val="24"/>
        </w:rPr>
        <w:t xml:space="preserve"> резервните части</w:t>
      </w:r>
      <w:r w:rsidR="00F70846" w:rsidRPr="005625BF">
        <w:rPr>
          <w:rFonts w:ascii="Liberation Sans Narrow" w:hAnsi="Liberation Sans Narrow" w:cs="Consolas"/>
          <w:sz w:val="24"/>
          <w:szCs w:val="24"/>
        </w:rPr>
        <w:t xml:space="preserve"> е </w:t>
      </w:r>
      <w:r w:rsidR="009E53A6" w:rsidRPr="005625BF">
        <w:rPr>
          <w:rFonts w:ascii="Liberation Sans Narrow" w:hAnsi="Liberation Sans Narrow" w:cs="Consolas"/>
          <w:sz w:val="24"/>
          <w:szCs w:val="24"/>
        </w:rPr>
        <w:t>588</w:t>
      </w:r>
      <w:r w:rsidR="00F70846" w:rsidRPr="005625BF">
        <w:rPr>
          <w:rFonts w:ascii="Liberation Sans Narrow" w:hAnsi="Liberation Sans Narrow" w:cs="Consolas"/>
          <w:sz w:val="24"/>
          <w:szCs w:val="24"/>
        </w:rPr>
        <w:t xml:space="preserve"> х. лв.</w:t>
      </w:r>
      <w:r w:rsidR="009E53A6" w:rsidRPr="005625BF">
        <w:rPr>
          <w:rFonts w:ascii="Liberation Sans Narrow" w:hAnsi="Liberation Sans Narrow" w:cs="Consolas"/>
          <w:sz w:val="24"/>
          <w:szCs w:val="24"/>
        </w:rPr>
        <w:t xml:space="preserve">без ДДС, офертата за доставка на оригинални резервни части </w:t>
      </w:r>
      <w:r w:rsidR="00203CDF">
        <w:rPr>
          <w:rFonts w:ascii="Liberation Sans Narrow" w:hAnsi="Liberation Sans Narrow" w:cs="Consolas"/>
          <w:sz w:val="24"/>
          <w:szCs w:val="24"/>
        </w:rPr>
        <w:t xml:space="preserve">за един когенератор </w:t>
      </w:r>
      <w:r w:rsidR="009E53A6" w:rsidRPr="005625BF">
        <w:rPr>
          <w:rFonts w:ascii="Liberation Sans Narrow" w:hAnsi="Liberation Sans Narrow" w:cs="Consolas"/>
          <w:sz w:val="24"/>
          <w:szCs w:val="24"/>
        </w:rPr>
        <w:t xml:space="preserve">е дадена в Приложение 3, като в ремонтната програма са включени и </w:t>
      </w:r>
      <w:r w:rsidR="00203CDF">
        <w:rPr>
          <w:rFonts w:ascii="Liberation Sans Narrow" w:hAnsi="Liberation Sans Narrow" w:cs="Consolas"/>
          <w:sz w:val="24"/>
          <w:szCs w:val="24"/>
        </w:rPr>
        <w:t>30</w:t>
      </w:r>
      <w:r w:rsidR="009E53A6" w:rsidRPr="005625BF">
        <w:rPr>
          <w:rFonts w:ascii="Liberation Sans Narrow" w:hAnsi="Liberation Sans Narrow" w:cs="Consolas"/>
          <w:sz w:val="24"/>
          <w:szCs w:val="24"/>
        </w:rPr>
        <w:t xml:space="preserve">% </w:t>
      </w:r>
      <w:r w:rsidR="00665ED0" w:rsidRPr="005625BF">
        <w:rPr>
          <w:rFonts w:ascii="Liberation Sans Narrow" w:hAnsi="Liberation Sans Narrow" w:cs="Consolas"/>
          <w:sz w:val="24"/>
          <w:szCs w:val="24"/>
        </w:rPr>
        <w:t>непредвидени</w:t>
      </w:r>
      <w:r w:rsidR="009E53A6" w:rsidRPr="005625BF">
        <w:rPr>
          <w:rFonts w:ascii="Liberation Sans Narrow" w:hAnsi="Liberation Sans Narrow" w:cs="Consolas"/>
          <w:sz w:val="24"/>
          <w:szCs w:val="24"/>
        </w:rPr>
        <w:t xml:space="preserve"> разходи за извършване на непланови ремонти, с цел гарантиране на безаварийната работа на съоръженията</w:t>
      </w:r>
      <w:r w:rsidRPr="005625BF">
        <w:rPr>
          <w:rFonts w:ascii="Liberation Sans Narrow" w:hAnsi="Liberation Sans Narrow" w:cs="Consolas"/>
          <w:sz w:val="24"/>
          <w:szCs w:val="24"/>
        </w:rPr>
        <w:t>.</w:t>
      </w:r>
      <w:r w:rsidR="00203CDF">
        <w:rPr>
          <w:rFonts w:ascii="Liberation Sans Narrow" w:hAnsi="Liberation Sans Narrow" w:cs="Consolas"/>
          <w:sz w:val="24"/>
          <w:szCs w:val="24"/>
        </w:rPr>
        <w:t xml:space="preserve"> Самите</w:t>
      </w:r>
      <w:r w:rsidR="00F43936" w:rsidRPr="005625BF">
        <w:rPr>
          <w:rFonts w:ascii="Liberation Sans Narrow" w:hAnsi="Liberation Sans Narrow" w:cs="Consolas"/>
          <w:sz w:val="24"/>
          <w:szCs w:val="24"/>
        </w:rPr>
        <w:t xml:space="preserve"> ремонт</w:t>
      </w:r>
      <w:r w:rsidR="00203CDF">
        <w:rPr>
          <w:rFonts w:ascii="Liberation Sans Narrow" w:hAnsi="Liberation Sans Narrow" w:cs="Consolas"/>
          <w:sz w:val="24"/>
          <w:szCs w:val="24"/>
        </w:rPr>
        <w:t>и ще бъдат</w:t>
      </w:r>
      <w:r w:rsidR="00F43936" w:rsidRPr="005625BF">
        <w:rPr>
          <w:rFonts w:ascii="Liberation Sans Narrow" w:hAnsi="Liberation Sans Narrow" w:cs="Consolas"/>
          <w:sz w:val="24"/>
          <w:szCs w:val="24"/>
        </w:rPr>
        <w:t xml:space="preserve"> извършен</w:t>
      </w:r>
      <w:r w:rsidR="00203CDF">
        <w:rPr>
          <w:rFonts w:ascii="Liberation Sans Narrow" w:hAnsi="Liberation Sans Narrow" w:cs="Consolas"/>
          <w:sz w:val="24"/>
          <w:szCs w:val="24"/>
        </w:rPr>
        <w:t>и</w:t>
      </w:r>
      <w:r w:rsidR="00F43936" w:rsidRPr="005625BF">
        <w:rPr>
          <w:rFonts w:ascii="Liberation Sans Narrow" w:hAnsi="Liberation Sans Narrow" w:cs="Consolas"/>
          <w:sz w:val="24"/>
          <w:szCs w:val="24"/>
        </w:rPr>
        <w:t xml:space="preserve"> със собствени</w:t>
      </w:r>
      <w:r w:rsidR="00B20B79" w:rsidRPr="005625BF">
        <w:rPr>
          <w:rFonts w:ascii="Liberation Sans Narrow" w:hAnsi="Liberation Sans Narrow" w:cs="Consolas"/>
          <w:sz w:val="24"/>
          <w:szCs w:val="24"/>
        </w:rPr>
        <w:t xml:space="preserve"> сили и</w:t>
      </w:r>
      <w:r w:rsidR="00F43936" w:rsidRPr="005625BF">
        <w:rPr>
          <w:rFonts w:ascii="Liberation Sans Narrow" w:hAnsi="Liberation Sans Narrow" w:cs="Consolas"/>
          <w:sz w:val="24"/>
          <w:szCs w:val="24"/>
        </w:rPr>
        <w:t xml:space="preserve"> средства.</w:t>
      </w:r>
    </w:p>
    <w:p w:rsidR="00B20B79" w:rsidRPr="005625BF" w:rsidRDefault="00B20B79" w:rsidP="004A6F2A">
      <w:pPr>
        <w:pStyle w:val="a8"/>
        <w:numPr>
          <w:ilvl w:val="1"/>
          <w:numId w:val="1"/>
        </w:numPr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>Предстоят основни р</w:t>
      </w:r>
      <w:r w:rsidR="00203CDF">
        <w:rPr>
          <w:rFonts w:ascii="Liberation Sans Narrow" w:hAnsi="Liberation Sans Narrow" w:cs="Consolas"/>
          <w:sz w:val="24"/>
          <w:szCs w:val="24"/>
        </w:rPr>
        <w:t>емонти на турбокомпресорите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, които са сериозно амортизирани и състоянието им се отразява на енергийната ефективност на инсталациите за високоефективно комбинирано производство на топлинна и електрическа енергия. Ценово предложение от оторизирания сервиз за България </w:t>
      </w:r>
      <w:r w:rsidR="004A6F2A" w:rsidRPr="005625BF">
        <w:rPr>
          <w:rFonts w:ascii="Liberation Sans Narrow" w:hAnsi="Liberation Sans Narrow" w:cs="Consolas"/>
          <w:sz w:val="24"/>
          <w:szCs w:val="24"/>
        </w:rPr>
        <w:t xml:space="preserve">само за турбокомпресорите на един когенератор </w:t>
      </w:r>
      <w:r w:rsidRPr="005625BF">
        <w:rPr>
          <w:rFonts w:ascii="Liberation Sans Narrow" w:hAnsi="Liberation Sans Narrow" w:cs="Consolas"/>
          <w:sz w:val="24"/>
          <w:szCs w:val="24"/>
        </w:rPr>
        <w:t>е даден</w:t>
      </w:r>
      <w:r w:rsidR="004A6F2A" w:rsidRPr="005625BF">
        <w:rPr>
          <w:rFonts w:ascii="Liberation Sans Narrow" w:hAnsi="Liberation Sans Narrow" w:cs="Consolas"/>
          <w:sz w:val="24"/>
          <w:szCs w:val="24"/>
        </w:rPr>
        <w:t>о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в Приложение 4 на настоящата записка.</w:t>
      </w:r>
    </w:p>
    <w:p w:rsidR="00A07CFC" w:rsidRPr="005625BF" w:rsidRDefault="00A07CFC" w:rsidP="004118A8">
      <w:pPr>
        <w:pStyle w:val="a8"/>
        <w:numPr>
          <w:ilvl w:val="1"/>
          <w:numId w:val="1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>Подмяна на части от топлопреносната мрежа с констатирана висока аварийност. Подмяната ще бъде извършена със собствени сили.</w:t>
      </w:r>
    </w:p>
    <w:p w:rsidR="00213437" w:rsidRPr="005625BF" w:rsidRDefault="00832328" w:rsidP="001E0C1E">
      <w:pPr>
        <w:pStyle w:val="a8"/>
        <w:numPr>
          <w:ilvl w:val="0"/>
          <w:numId w:val="1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>Разходите за персонала и съответните плащания за осигуровки са разчетени на база достигнати разходи през 201</w:t>
      </w:r>
      <w:r w:rsidR="00213437" w:rsidRPr="005625BF">
        <w:rPr>
          <w:rFonts w:ascii="Liberation Sans Narrow" w:hAnsi="Liberation Sans Narrow" w:cs="Consolas"/>
          <w:sz w:val="24"/>
          <w:szCs w:val="24"/>
        </w:rPr>
        <w:t>5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г.</w:t>
      </w:r>
      <w:r w:rsidR="00AD46C0" w:rsidRPr="005625BF">
        <w:rPr>
          <w:rFonts w:ascii="Liberation Sans Narrow" w:hAnsi="Liberation Sans Narrow" w:cs="Consolas"/>
          <w:sz w:val="24"/>
          <w:szCs w:val="24"/>
        </w:rPr>
        <w:t xml:space="preserve">, </w:t>
      </w:r>
      <w:r w:rsidR="00213437" w:rsidRPr="005625BF">
        <w:rPr>
          <w:rFonts w:ascii="Liberation Sans Narrow" w:hAnsi="Liberation Sans Narrow" w:cs="Consolas"/>
          <w:sz w:val="24"/>
          <w:szCs w:val="24"/>
        </w:rPr>
        <w:t xml:space="preserve">През новия ценови период не предвиждаме промяна в </w:t>
      </w:r>
      <w:r w:rsidR="00AD46C0" w:rsidRPr="005625BF">
        <w:rPr>
          <w:rFonts w:ascii="Liberation Sans Narrow" w:hAnsi="Liberation Sans Narrow" w:cs="Consolas"/>
          <w:sz w:val="24"/>
          <w:szCs w:val="24"/>
        </w:rPr>
        <w:t>числеността на персонала</w:t>
      </w:r>
      <w:r w:rsidR="00213437" w:rsidRPr="005625BF">
        <w:rPr>
          <w:rFonts w:ascii="Liberation Sans Narrow" w:hAnsi="Liberation Sans Narrow" w:cs="Consolas"/>
          <w:sz w:val="24"/>
          <w:szCs w:val="24"/>
        </w:rPr>
        <w:t>.</w:t>
      </w:r>
    </w:p>
    <w:p w:rsidR="00E44EBF" w:rsidRPr="005625BF" w:rsidRDefault="00213437" w:rsidP="00203CDF">
      <w:pPr>
        <w:pStyle w:val="a8"/>
        <w:numPr>
          <w:ilvl w:val="0"/>
          <w:numId w:val="1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>Р</w:t>
      </w:r>
      <w:r w:rsidR="001B6DC2" w:rsidRPr="005625BF">
        <w:rPr>
          <w:rFonts w:ascii="Liberation Sans Narrow" w:hAnsi="Liberation Sans Narrow" w:cs="Consolas"/>
          <w:sz w:val="24"/>
          <w:szCs w:val="24"/>
        </w:rPr>
        <w:t>азходите</w:t>
      </w:r>
      <w:r w:rsidR="00C839B8" w:rsidRPr="005625BF">
        <w:rPr>
          <w:rFonts w:ascii="Liberation Sans Narrow" w:hAnsi="Liberation Sans Narrow" w:cs="Consolas"/>
          <w:sz w:val="24"/>
          <w:szCs w:val="24"/>
        </w:rPr>
        <w:t xml:space="preserve"> пряко свързани с регулираните дейности са </w:t>
      </w:r>
      <w:r w:rsidRPr="005625BF">
        <w:rPr>
          <w:rFonts w:ascii="Liberation Sans Narrow" w:hAnsi="Liberation Sans Narrow" w:cs="Consolas"/>
          <w:sz w:val="24"/>
          <w:szCs w:val="24"/>
        </w:rPr>
        <w:t>прогнозирани на баз</w:t>
      </w:r>
      <w:r w:rsidR="00E44EBF" w:rsidRPr="005625BF">
        <w:rPr>
          <w:rFonts w:ascii="Liberation Sans Narrow" w:hAnsi="Liberation Sans Narrow" w:cs="Consolas"/>
          <w:sz w:val="24"/>
          <w:szCs w:val="24"/>
        </w:rPr>
        <w:t>а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постигнати такива по отчет за 2015 г. </w:t>
      </w:r>
      <w:r w:rsidR="001E2F52" w:rsidRPr="005625BF">
        <w:rPr>
          <w:rFonts w:ascii="Liberation Sans Narrow" w:hAnsi="Liberation Sans Narrow" w:cs="Consolas"/>
          <w:sz w:val="24"/>
          <w:szCs w:val="24"/>
        </w:rPr>
        <w:t xml:space="preserve">В прогнозата за следващия регулаторен период тези разходи бележат </w:t>
      </w:r>
      <w:r w:rsidR="00780F79" w:rsidRPr="005625BF">
        <w:rPr>
          <w:rFonts w:ascii="Liberation Sans Narrow" w:hAnsi="Liberation Sans Narrow" w:cs="Consolas"/>
          <w:sz w:val="24"/>
          <w:szCs w:val="24"/>
        </w:rPr>
        <w:t xml:space="preserve">увеличение спрямо </w:t>
      </w:r>
      <w:r w:rsidR="001E2F52" w:rsidRPr="005625BF">
        <w:rPr>
          <w:rFonts w:ascii="Liberation Sans Narrow" w:hAnsi="Liberation Sans Narrow" w:cs="Consolas"/>
          <w:sz w:val="24"/>
          <w:szCs w:val="24"/>
        </w:rPr>
        <w:t>отчета за 201</w:t>
      </w:r>
      <w:r w:rsidR="00780F79" w:rsidRPr="005625BF">
        <w:rPr>
          <w:rFonts w:ascii="Liberation Sans Narrow" w:hAnsi="Liberation Sans Narrow" w:cs="Consolas"/>
          <w:sz w:val="24"/>
          <w:szCs w:val="24"/>
        </w:rPr>
        <w:t>4</w:t>
      </w:r>
      <w:r w:rsidR="001E2F52" w:rsidRPr="005625BF">
        <w:rPr>
          <w:rFonts w:ascii="Liberation Sans Narrow" w:hAnsi="Liberation Sans Narrow" w:cs="Consolas"/>
          <w:sz w:val="24"/>
          <w:szCs w:val="24"/>
        </w:rPr>
        <w:t xml:space="preserve"> г. с 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203 </w:t>
      </w:r>
      <w:r w:rsidR="001E2F52" w:rsidRPr="005625BF">
        <w:rPr>
          <w:rFonts w:ascii="Liberation Sans Narrow" w:hAnsi="Liberation Sans Narrow" w:cs="Consolas"/>
          <w:sz w:val="24"/>
          <w:szCs w:val="24"/>
        </w:rPr>
        <w:t>х.лв</w:t>
      </w:r>
      <w:r w:rsidRPr="005625BF">
        <w:rPr>
          <w:rFonts w:ascii="Liberation Sans Narrow" w:hAnsi="Liberation Sans Narrow" w:cs="Consolas"/>
          <w:sz w:val="24"/>
          <w:szCs w:val="24"/>
        </w:rPr>
        <w:t>..</w:t>
      </w:r>
      <w:r w:rsidR="001E2F52" w:rsidRPr="005625BF">
        <w:rPr>
          <w:rFonts w:ascii="Liberation Sans Narrow" w:hAnsi="Liberation Sans Narrow" w:cs="Consolas"/>
          <w:sz w:val="24"/>
          <w:szCs w:val="24"/>
        </w:rPr>
        <w:t>.</w:t>
      </w:r>
      <w:r w:rsidR="006E73FA" w:rsidRPr="005625BF">
        <w:rPr>
          <w:rFonts w:ascii="Liberation Sans Narrow" w:hAnsi="Liberation Sans Narrow" w:cs="Consolas"/>
          <w:sz w:val="24"/>
          <w:szCs w:val="24"/>
        </w:rPr>
        <w:t>По същестествените промени са:</w:t>
      </w:r>
    </w:p>
    <w:p w:rsidR="00E44EBF" w:rsidRPr="005625BF" w:rsidRDefault="00E44EBF" w:rsidP="00E44EBF">
      <w:pPr>
        <w:pStyle w:val="a8"/>
        <w:spacing w:after="0"/>
        <w:ind w:left="142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 xml:space="preserve">Разходите за гориво за автотранспорт, работно облекло и канцеларски материали, материали за текущо поддържане са запазват на нивото от 2015 г.. </w:t>
      </w:r>
    </w:p>
    <w:p w:rsidR="00E44EBF" w:rsidRPr="005625BF" w:rsidRDefault="00213437" w:rsidP="00E44EBF">
      <w:pPr>
        <w:pStyle w:val="a8"/>
        <w:spacing w:after="0"/>
        <w:ind w:left="142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>Намаление на разходите за застраховки с 23 х. лв. във връзка с постигната по-добри ценови условия в резултат на проведена процедура по ЗОП</w:t>
      </w:r>
      <w:r w:rsidR="00E44EBF" w:rsidRPr="005625BF">
        <w:rPr>
          <w:rFonts w:ascii="Liberation Sans Narrow" w:hAnsi="Liberation Sans Narrow" w:cs="Consolas"/>
          <w:sz w:val="24"/>
          <w:szCs w:val="24"/>
        </w:rPr>
        <w:t>.</w:t>
      </w:r>
    </w:p>
    <w:p w:rsidR="00E44EBF" w:rsidRPr="005625BF" w:rsidRDefault="00E44EBF" w:rsidP="00E44EBF">
      <w:pPr>
        <w:pStyle w:val="a8"/>
        <w:spacing w:after="0"/>
        <w:ind w:left="142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 xml:space="preserve">Разходите за данъци и такси са увеличени с 287 х. лв. спрямо отчета за 2015 г.. Сумата на увеличението представлява разходите за вноската от 5% към Министерството на енергетиката за гарантиране сигурността на енергийната система, влязла в сила от м. Юли 2015 г.. Сумата е пресметната на база прогнозираните нетни количества електрическа енергия за новия ценови период и утвърдената към момента цена </w:t>
      </w:r>
      <w:r w:rsidR="00C81BE5" w:rsidRPr="005625BF">
        <w:rPr>
          <w:rFonts w:ascii="Liberation Sans Narrow" w:hAnsi="Liberation Sans Narrow" w:cs="Consolas"/>
          <w:sz w:val="24"/>
          <w:szCs w:val="24"/>
        </w:rPr>
        <w:t xml:space="preserve">за електрическа енергия от комбинирано производство. </w:t>
      </w:r>
    </w:p>
    <w:p w:rsidR="00C81BE5" w:rsidRPr="005625BF" w:rsidRDefault="00C81BE5" w:rsidP="001B6DC2">
      <w:pPr>
        <w:pStyle w:val="a8"/>
        <w:spacing w:after="0"/>
        <w:ind w:left="142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>Пощенските разходи, р</w:t>
      </w:r>
      <w:r w:rsidR="008B3101" w:rsidRPr="005625BF">
        <w:rPr>
          <w:rFonts w:ascii="Liberation Sans Narrow" w:hAnsi="Liberation Sans Narrow" w:cs="Consolas"/>
          <w:sz w:val="24"/>
          <w:szCs w:val="24"/>
        </w:rPr>
        <w:t xml:space="preserve">азходите за противопожарна </w:t>
      </w:r>
      <w:r w:rsidR="00C82407" w:rsidRPr="005625BF">
        <w:rPr>
          <w:rFonts w:ascii="Liberation Sans Narrow" w:hAnsi="Liberation Sans Narrow" w:cs="Consolas"/>
          <w:sz w:val="24"/>
          <w:szCs w:val="24"/>
        </w:rPr>
        <w:t xml:space="preserve">и въоръжена </w:t>
      </w:r>
      <w:r w:rsidR="008B3101" w:rsidRPr="005625BF">
        <w:rPr>
          <w:rFonts w:ascii="Liberation Sans Narrow" w:hAnsi="Liberation Sans Narrow" w:cs="Consolas"/>
          <w:sz w:val="24"/>
          <w:szCs w:val="24"/>
        </w:rPr>
        <w:t>охрана</w:t>
      </w:r>
      <w:r w:rsidRPr="005625BF">
        <w:rPr>
          <w:rFonts w:ascii="Liberation Sans Narrow" w:hAnsi="Liberation Sans Narrow" w:cs="Consolas"/>
          <w:sz w:val="24"/>
          <w:szCs w:val="24"/>
        </w:rPr>
        <w:t>, разходите за наеми и абонаментно поддържане се запазват в нивата от 2015 г..</w:t>
      </w:r>
    </w:p>
    <w:p w:rsidR="003326D5" w:rsidRPr="005625BF" w:rsidRDefault="003326D5" w:rsidP="001B6DC2">
      <w:pPr>
        <w:pStyle w:val="a8"/>
        <w:spacing w:after="0"/>
        <w:ind w:left="142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 xml:space="preserve">Разходите за проверка на уреди са </w:t>
      </w:r>
      <w:r w:rsidR="00C81BE5" w:rsidRPr="005625BF">
        <w:rPr>
          <w:rFonts w:ascii="Liberation Sans Narrow" w:hAnsi="Liberation Sans Narrow" w:cs="Consolas"/>
          <w:sz w:val="24"/>
          <w:szCs w:val="24"/>
        </w:rPr>
        <w:t xml:space="preserve">увеличени с </w:t>
      </w:r>
      <w:r w:rsidRPr="005625BF">
        <w:rPr>
          <w:rFonts w:ascii="Liberation Sans Narrow" w:hAnsi="Liberation Sans Narrow" w:cs="Consolas"/>
          <w:sz w:val="24"/>
          <w:szCs w:val="24"/>
        </w:rPr>
        <w:t>1</w:t>
      </w:r>
      <w:r w:rsidR="00C81BE5" w:rsidRPr="005625BF">
        <w:rPr>
          <w:rFonts w:ascii="Liberation Sans Narrow" w:hAnsi="Liberation Sans Narrow" w:cs="Consolas"/>
          <w:sz w:val="24"/>
          <w:szCs w:val="24"/>
        </w:rPr>
        <w:t>3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х. лв.</w:t>
      </w:r>
      <w:r w:rsidR="00C81BE5" w:rsidRPr="005625BF">
        <w:rPr>
          <w:rFonts w:ascii="Liberation Sans Narrow" w:hAnsi="Liberation Sans Narrow" w:cs="Consolas"/>
          <w:sz w:val="24"/>
          <w:szCs w:val="24"/>
        </w:rPr>
        <w:t xml:space="preserve"> спрямо отчета за 2015 г. поради предстоящата през 2016 г. </w:t>
      </w:r>
      <w:r w:rsidRPr="005625BF">
        <w:rPr>
          <w:rFonts w:ascii="Liberation Sans Narrow" w:hAnsi="Liberation Sans Narrow" w:cs="Consolas"/>
          <w:sz w:val="24"/>
          <w:szCs w:val="24"/>
        </w:rPr>
        <w:t>задължителна метрологична проверка на топломерите</w:t>
      </w:r>
      <w:r w:rsidR="00C81BE5" w:rsidRPr="005625BF">
        <w:rPr>
          <w:rFonts w:ascii="Liberation Sans Narrow" w:hAnsi="Liberation Sans Narrow" w:cs="Consolas"/>
          <w:sz w:val="24"/>
          <w:szCs w:val="24"/>
        </w:rPr>
        <w:t>.</w:t>
      </w:r>
    </w:p>
    <w:p w:rsidR="004A65B2" w:rsidRPr="005625BF" w:rsidRDefault="00C839B8" w:rsidP="001F0AD4">
      <w:pPr>
        <w:pStyle w:val="a8"/>
        <w:spacing w:after="0"/>
        <w:ind w:left="142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lastRenderedPageBreak/>
        <w:t xml:space="preserve">За прогнозния период </w:t>
      </w:r>
      <w:r w:rsidR="001E2F52" w:rsidRPr="005625BF">
        <w:rPr>
          <w:rFonts w:ascii="Liberation Sans Narrow" w:hAnsi="Liberation Sans Narrow" w:cs="Consolas"/>
          <w:sz w:val="24"/>
          <w:szCs w:val="24"/>
        </w:rPr>
        <w:t xml:space="preserve">е заложено </w:t>
      </w:r>
      <w:r w:rsidR="004A65B2" w:rsidRPr="005625BF">
        <w:rPr>
          <w:rFonts w:ascii="Liberation Sans Narrow" w:hAnsi="Liberation Sans Narrow" w:cs="Consolas"/>
          <w:sz w:val="24"/>
          <w:szCs w:val="24"/>
        </w:rPr>
        <w:t xml:space="preserve">намаление </w:t>
      </w:r>
      <w:r w:rsidR="001E2F52" w:rsidRPr="005625BF">
        <w:rPr>
          <w:rFonts w:ascii="Liberation Sans Narrow" w:hAnsi="Liberation Sans Narrow" w:cs="Consolas"/>
          <w:sz w:val="24"/>
          <w:szCs w:val="24"/>
        </w:rPr>
        <w:t xml:space="preserve">на 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съдебните разходи </w:t>
      </w:r>
      <w:r w:rsidR="00F550CD" w:rsidRPr="005625BF">
        <w:rPr>
          <w:rFonts w:ascii="Liberation Sans Narrow" w:hAnsi="Liberation Sans Narrow" w:cs="Consolas"/>
          <w:sz w:val="24"/>
          <w:szCs w:val="24"/>
        </w:rPr>
        <w:t xml:space="preserve">с </w:t>
      </w:r>
      <w:r w:rsidR="004A65B2" w:rsidRPr="005625BF">
        <w:rPr>
          <w:rFonts w:ascii="Liberation Sans Narrow" w:hAnsi="Liberation Sans Narrow" w:cs="Consolas"/>
          <w:sz w:val="24"/>
          <w:szCs w:val="24"/>
        </w:rPr>
        <w:t>48</w:t>
      </w:r>
      <w:r w:rsidR="00F550CD" w:rsidRPr="005625BF">
        <w:rPr>
          <w:rFonts w:ascii="Liberation Sans Narrow" w:hAnsi="Liberation Sans Narrow" w:cs="Consolas"/>
          <w:sz w:val="24"/>
          <w:szCs w:val="24"/>
        </w:rPr>
        <w:t xml:space="preserve"> х.лв. </w:t>
      </w:r>
      <w:r w:rsidR="004A65B2" w:rsidRPr="005625BF">
        <w:rPr>
          <w:rFonts w:ascii="Liberation Sans Narrow" w:hAnsi="Liberation Sans Narrow" w:cs="Consolas"/>
          <w:sz w:val="24"/>
          <w:szCs w:val="24"/>
        </w:rPr>
        <w:t xml:space="preserve">поради очаквания по-малък брой дела и съдебни процедури свързани със </w:t>
      </w:r>
      <w:r w:rsidRPr="005625BF">
        <w:rPr>
          <w:rFonts w:ascii="Liberation Sans Narrow" w:hAnsi="Liberation Sans Narrow" w:cs="Consolas"/>
          <w:sz w:val="24"/>
          <w:szCs w:val="24"/>
        </w:rPr>
        <w:t>събирането на просрочените вземания по съдебен ред</w:t>
      </w:r>
      <w:r w:rsidR="004A65B2" w:rsidRPr="005625BF">
        <w:rPr>
          <w:rFonts w:ascii="Liberation Sans Narrow" w:hAnsi="Liberation Sans Narrow" w:cs="Consolas"/>
          <w:sz w:val="24"/>
          <w:szCs w:val="24"/>
        </w:rPr>
        <w:t>.</w:t>
      </w:r>
    </w:p>
    <w:p w:rsidR="004A65B2" w:rsidRPr="005625BF" w:rsidRDefault="003326D5" w:rsidP="001F0AD4">
      <w:pPr>
        <w:pStyle w:val="a8"/>
        <w:spacing w:after="0"/>
        <w:ind w:left="142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>Разходите за одиторски и експертни услуги</w:t>
      </w:r>
      <w:r w:rsidR="004A65B2" w:rsidRPr="005625BF">
        <w:rPr>
          <w:rFonts w:ascii="Liberation Sans Narrow" w:hAnsi="Liberation Sans Narrow" w:cs="Consolas"/>
          <w:sz w:val="24"/>
          <w:szCs w:val="24"/>
        </w:rPr>
        <w:t xml:space="preserve">, вода осветление и отопление, предпазна храна охрана на труда се запазват в размерите за 2015 г.. </w:t>
      </w:r>
    </w:p>
    <w:p w:rsidR="00BE7669" w:rsidRPr="005625BF" w:rsidRDefault="00743507" w:rsidP="00743507">
      <w:pPr>
        <w:pStyle w:val="a8"/>
        <w:spacing w:after="0"/>
        <w:ind w:left="142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 xml:space="preserve">Разходите за събрано инкасо представляват изплатените суми и комисионни за събрано инкасо от Български пощи, </w:t>
      </w:r>
      <w:r w:rsidR="000A2AC4" w:rsidRPr="005625BF">
        <w:rPr>
          <w:rFonts w:ascii="Liberation Sans Narrow" w:hAnsi="Liberation Sans Narrow" w:cs="Consolas"/>
          <w:sz w:val="24"/>
          <w:szCs w:val="24"/>
        </w:rPr>
        <w:t>И</w:t>
      </w:r>
      <w:r w:rsidRPr="005625BF">
        <w:rPr>
          <w:rFonts w:ascii="Liberation Sans Narrow" w:hAnsi="Liberation Sans Narrow" w:cs="Consolas"/>
          <w:sz w:val="24"/>
          <w:szCs w:val="24"/>
        </w:rPr>
        <w:t>пей, ПИБ, тъй като дружеството няма други изнесени каси и пунктове за инкасиране на дължимите суми и такси от абонатите и ползва услугите на други фирми.Тук са включени и разходите по отчета на уредите за дялово разпределение от фирмите които се явяват като под изпълнители на Топлофикация-Враца ЕАД</w:t>
      </w:r>
      <w:r w:rsidR="00DC011A" w:rsidRPr="005625BF">
        <w:rPr>
          <w:rFonts w:ascii="Liberation Sans Narrow" w:hAnsi="Liberation Sans Narrow" w:cs="Consolas"/>
          <w:sz w:val="24"/>
          <w:szCs w:val="24"/>
        </w:rPr>
        <w:t>.</w:t>
      </w:r>
      <w:r w:rsidR="004A65B2" w:rsidRPr="005625BF">
        <w:rPr>
          <w:rFonts w:ascii="Liberation Sans Narrow" w:hAnsi="Liberation Sans Narrow" w:cs="Consolas"/>
          <w:sz w:val="24"/>
          <w:szCs w:val="24"/>
        </w:rPr>
        <w:t xml:space="preserve"> Тези разходи се запазват в размера постигнат като отчет за 2015 г..</w:t>
      </w:r>
    </w:p>
    <w:p w:rsidR="006B62DC" w:rsidRPr="005625BF" w:rsidRDefault="006B62DC" w:rsidP="006B62DC">
      <w:pPr>
        <w:pStyle w:val="a8"/>
        <w:rPr>
          <w:rFonts w:ascii="Liberation Sans Narrow" w:hAnsi="Liberation Sans Narrow" w:cs="Consolas"/>
          <w:sz w:val="24"/>
          <w:szCs w:val="24"/>
        </w:rPr>
      </w:pPr>
    </w:p>
    <w:p w:rsidR="002C08C3" w:rsidRPr="005625BF" w:rsidRDefault="002C08C3" w:rsidP="002C08C3">
      <w:pPr>
        <w:pStyle w:val="a8"/>
        <w:numPr>
          <w:ilvl w:val="0"/>
          <w:numId w:val="2"/>
        </w:numPr>
        <w:spacing w:after="0"/>
        <w:ind w:left="1134" w:hanging="429"/>
        <w:jc w:val="both"/>
        <w:rPr>
          <w:rFonts w:ascii="Liberation Sans Narrow" w:hAnsi="Liberation Sans Narrow" w:cs="Consolas"/>
          <w:b/>
          <w:sz w:val="24"/>
          <w:szCs w:val="24"/>
          <w:u w:val="single"/>
        </w:rPr>
      </w:pPr>
      <w:r w:rsidRPr="005625BF">
        <w:rPr>
          <w:rFonts w:ascii="Liberation Sans Narrow" w:hAnsi="Liberation Sans Narrow" w:cs="Consolas"/>
          <w:b/>
          <w:sz w:val="24"/>
          <w:szCs w:val="24"/>
          <w:u w:val="single"/>
        </w:rPr>
        <w:t xml:space="preserve">Променливите разходи </w:t>
      </w:r>
    </w:p>
    <w:p w:rsidR="00CE2AE3" w:rsidRPr="005625BF" w:rsidRDefault="002C08C3" w:rsidP="00881F0D">
      <w:pPr>
        <w:pStyle w:val="a8"/>
        <w:numPr>
          <w:ilvl w:val="0"/>
          <w:numId w:val="3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>Разходите за гориво за прогнозния период 201</w:t>
      </w:r>
      <w:r w:rsidR="00B62869" w:rsidRPr="005625BF">
        <w:rPr>
          <w:rFonts w:ascii="Liberation Sans Narrow" w:hAnsi="Liberation Sans Narrow" w:cs="Consolas"/>
          <w:sz w:val="24"/>
          <w:szCs w:val="24"/>
        </w:rPr>
        <w:t>6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г./201</w:t>
      </w:r>
      <w:r w:rsidR="00881F0D" w:rsidRPr="005625BF">
        <w:rPr>
          <w:rFonts w:ascii="Liberation Sans Narrow" w:hAnsi="Liberation Sans Narrow" w:cs="Consolas"/>
          <w:sz w:val="24"/>
          <w:szCs w:val="24"/>
        </w:rPr>
        <w:t>7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г. са изчислени на база количество гориво и </w:t>
      </w:r>
      <w:r w:rsidR="00881F0D" w:rsidRPr="006A1174">
        <w:rPr>
          <w:rFonts w:ascii="Liberation Sans Narrow" w:hAnsi="Liberation Sans Narrow" w:cs="Consolas"/>
          <w:sz w:val="24"/>
          <w:szCs w:val="24"/>
        </w:rPr>
        <w:t xml:space="preserve">утвърдената </w:t>
      </w:r>
      <w:r w:rsidR="006A1174" w:rsidRPr="006A1174">
        <w:rPr>
          <w:rFonts w:ascii="Liberation Sans Narrow" w:hAnsi="Liberation Sans Narrow" w:cs="Consolas"/>
          <w:sz w:val="24"/>
          <w:szCs w:val="24"/>
        </w:rPr>
        <w:t xml:space="preserve">от 1 Април 2016 г. </w:t>
      </w:r>
      <w:r w:rsidRPr="006A1174">
        <w:rPr>
          <w:rFonts w:ascii="Liberation Sans Narrow" w:hAnsi="Liberation Sans Narrow" w:cs="Consolas"/>
          <w:sz w:val="24"/>
          <w:szCs w:val="24"/>
        </w:rPr>
        <w:t>цена на природния га</w:t>
      </w:r>
      <w:r w:rsidR="00E01543" w:rsidRPr="006A1174">
        <w:rPr>
          <w:rFonts w:ascii="Liberation Sans Narrow" w:hAnsi="Liberation Sans Narrow" w:cs="Consolas"/>
          <w:sz w:val="24"/>
          <w:szCs w:val="24"/>
        </w:rPr>
        <w:t xml:space="preserve">з – </w:t>
      </w:r>
      <w:r w:rsidR="00881F0D" w:rsidRPr="006A1174">
        <w:rPr>
          <w:rFonts w:ascii="Liberation Sans Narrow" w:hAnsi="Liberation Sans Narrow" w:cs="Consolas"/>
          <w:sz w:val="24"/>
          <w:szCs w:val="24"/>
        </w:rPr>
        <w:t xml:space="preserve">312.21 лв/1000 н.м3 без ДДС  </w:t>
      </w:r>
      <w:r w:rsidRPr="006A1174">
        <w:rPr>
          <w:rFonts w:ascii="Liberation Sans Narrow" w:hAnsi="Liberation Sans Narrow" w:cs="Consolas"/>
          <w:sz w:val="24"/>
          <w:szCs w:val="24"/>
        </w:rPr>
        <w:t>.</w:t>
      </w:r>
      <w:r w:rsidR="00CE2AE3" w:rsidRPr="006A1174">
        <w:rPr>
          <w:rFonts w:ascii="Liberation Sans Narrow" w:hAnsi="Liberation Sans Narrow" w:cs="Consolas"/>
          <w:sz w:val="24"/>
          <w:szCs w:val="24"/>
        </w:rPr>
        <w:t xml:space="preserve"> Използваната цена на биомаса в прогнозата за новия ценови период е определена като средна претеглена цена за </w:t>
      </w:r>
      <w:r w:rsidR="001758D7" w:rsidRPr="006A1174">
        <w:rPr>
          <w:rFonts w:ascii="Liberation Sans Narrow" w:hAnsi="Liberation Sans Narrow" w:cs="Consolas"/>
          <w:sz w:val="24"/>
          <w:szCs w:val="24"/>
        </w:rPr>
        <w:t>двата</w:t>
      </w:r>
      <w:r w:rsidR="00CE2AE3" w:rsidRPr="005625BF">
        <w:rPr>
          <w:rFonts w:ascii="Liberation Sans Narrow" w:hAnsi="Liberation Sans Narrow" w:cs="Consolas"/>
          <w:sz w:val="24"/>
          <w:szCs w:val="24"/>
        </w:rPr>
        <w:t xml:space="preserve"> вид</w:t>
      </w:r>
      <w:r w:rsidR="001758D7" w:rsidRPr="005625BF">
        <w:rPr>
          <w:rFonts w:ascii="Liberation Sans Narrow" w:hAnsi="Liberation Sans Narrow" w:cs="Consolas"/>
          <w:sz w:val="24"/>
          <w:szCs w:val="24"/>
        </w:rPr>
        <w:t>а</w:t>
      </w:r>
      <w:r w:rsidR="00CE2AE3" w:rsidRPr="005625BF">
        <w:rPr>
          <w:rFonts w:ascii="Liberation Sans Narrow" w:hAnsi="Liberation Sans Narrow" w:cs="Consolas"/>
          <w:sz w:val="24"/>
          <w:szCs w:val="24"/>
        </w:rPr>
        <w:t xml:space="preserve"> използван</w:t>
      </w:r>
      <w:r w:rsidR="001758D7" w:rsidRPr="005625BF">
        <w:rPr>
          <w:rFonts w:ascii="Liberation Sans Narrow" w:hAnsi="Liberation Sans Narrow" w:cs="Consolas"/>
          <w:sz w:val="24"/>
          <w:szCs w:val="24"/>
        </w:rPr>
        <w:t>о</w:t>
      </w:r>
      <w:r w:rsidR="00CE2AE3" w:rsidRPr="005625BF">
        <w:rPr>
          <w:rFonts w:ascii="Liberation Sans Narrow" w:hAnsi="Liberation Sans Narrow" w:cs="Consolas"/>
          <w:sz w:val="24"/>
          <w:szCs w:val="24"/>
        </w:rPr>
        <w:t xml:space="preserve"> био</w:t>
      </w:r>
      <w:r w:rsidR="001758D7" w:rsidRPr="005625BF">
        <w:rPr>
          <w:rFonts w:ascii="Liberation Sans Narrow" w:hAnsi="Liberation Sans Narrow" w:cs="Consolas"/>
          <w:sz w:val="24"/>
          <w:szCs w:val="24"/>
        </w:rPr>
        <w:t>гориво</w:t>
      </w:r>
      <w:r w:rsidR="00C9409D" w:rsidRPr="005625BF">
        <w:rPr>
          <w:rFonts w:ascii="Liberation Sans Narrow" w:hAnsi="Liberation Sans Narrow" w:cs="Consolas"/>
          <w:sz w:val="24"/>
          <w:szCs w:val="24"/>
        </w:rPr>
        <w:t xml:space="preserve"> – дървесен чипс</w:t>
      </w:r>
      <w:r w:rsidR="00CE2AE3" w:rsidRPr="005625BF">
        <w:rPr>
          <w:rFonts w:ascii="Liberation Sans Narrow" w:hAnsi="Liberation Sans Narrow" w:cs="Consolas"/>
          <w:sz w:val="24"/>
          <w:szCs w:val="24"/>
        </w:rPr>
        <w:t xml:space="preserve"> и </w:t>
      </w:r>
      <w:r w:rsidR="00C9409D" w:rsidRPr="005625BF">
        <w:rPr>
          <w:rFonts w:ascii="Liberation Sans Narrow" w:hAnsi="Liberation Sans Narrow" w:cs="Consolas"/>
          <w:sz w:val="24"/>
          <w:szCs w:val="24"/>
        </w:rPr>
        <w:t xml:space="preserve">пелети от </w:t>
      </w:r>
      <w:r w:rsidR="00CE2AE3" w:rsidRPr="005625BF">
        <w:rPr>
          <w:rFonts w:ascii="Liberation Sans Narrow" w:hAnsi="Liberation Sans Narrow" w:cs="Consolas"/>
          <w:sz w:val="24"/>
          <w:szCs w:val="24"/>
        </w:rPr>
        <w:t>слънчогледова люспа.</w:t>
      </w:r>
    </w:p>
    <w:p w:rsidR="002C08C3" w:rsidRPr="005625BF" w:rsidRDefault="002C08C3" w:rsidP="00203CDF">
      <w:pPr>
        <w:pStyle w:val="a8"/>
        <w:numPr>
          <w:ilvl w:val="0"/>
          <w:numId w:val="3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 xml:space="preserve">Разходите за енергия, вода и консумативи са </w:t>
      </w:r>
      <w:r w:rsidR="00BD057E" w:rsidRPr="005625BF">
        <w:rPr>
          <w:rFonts w:ascii="Liberation Sans Narrow" w:hAnsi="Liberation Sans Narrow" w:cs="Consolas"/>
          <w:sz w:val="24"/>
          <w:szCs w:val="24"/>
        </w:rPr>
        <w:t>запазени на нивата от 201</w:t>
      </w:r>
      <w:r w:rsidR="00881F0D" w:rsidRPr="005625BF">
        <w:rPr>
          <w:rFonts w:ascii="Liberation Sans Narrow" w:hAnsi="Liberation Sans Narrow" w:cs="Consolas"/>
          <w:sz w:val="24"/>
          <w:szCs w:val="24"/>
        </w:rPr>
        <w:t>5</w:t>
      </w:r>
      <w:r w:rsidR="00BD057E" w:rsidRPr="005625BF">
        <w:rPr>
          <w:rFonts w:ascii="Liberation Sans Narrow" w:hAnsi="Liberation Sans Narrow" w:cs="Consolas"/>
          <w:sz w:val="24"/>
          <w:szCs w:val="24"/>
        </w:rPr>
        <w:t xml:space="preserve"> г..</w:t>
      </w:r>
      <w:r w:rsidR="00D458A2" w:rsidRPr="005625BF">
        <w:rPr>
          <w:rFonts w:ascii="Liberation Sans Narrow" w:hAnsi="Liberation Sans Narrow" w:cs="Consolas"/>
          <w:sz w:val="24"/>
          <w:szCs w:val="24"/>
        </w:rPr>
        <w:t>В разход</w:t>
      </w:r>
      <w:r w:rsidR="00AF2CBE" w:rsidRPr="005625BF">
        <w:rPr>
          <w:rFonts w:ascii="Liberation Sans Narrow" w:hAnsi="Liberation Sans Narrow" w:cs="Consolas"/>
          <w:sz w:val="24"/>
          <w:szCs w:val="24"/>
        </w:rPr>
        <w:t xml:space="preserve">итеза </w:t>
      </w:r>
      <w:r w:rsidR="00D458A2" w:rsidRPr="005625BF">
        <w:rPr>
          <w:rFonts w:ascii="Liberation Sans Narrow" w:hAnsi="Liberation Sans Narrow" w:cs="Consolas"/>
          <w:sz w:val="24"/>
          <w:szCs w:val="24"/>
        </w:rPr>
        <w:t>консумативи/химикали</w:t>
      </w:r>
      <w:r w:rsidR="00BD057E" w:rsidRPr="005625BF">
        <w:rPr>
          <w:rFonts w:ascii="Liberation Sans Narrow" w:hAnsi="Liberation Sans Narrow" w:cs="Consolas"/>
          <w:sz w:val="24"/>
          <w:szCs w:val="24"/>
        </w:rPr>
        <w:t xml:space="preserve"> и реагенти </w:t>
      </w:r>
      <w:r w:rsidR="00D458A2" w:rsidRPr="005625BF">
        <w:rPr>
          <w:rFonts w:ascii="Liberation Sans Narrow" w:hAnsi="Liberation Sans Narrow" w:cs="Consolas"/>
          <w:sz w:val="24"/>
          <w:szCs w:val="24"/>
        </w:rPr>
        <w:t>са включени разходите за химикали, реагенти и добавки за обработка на циркулиращата вода в магистралата и централите.С тази обработка се цели омекотяване и химическа обработка на водата с цел предотвратяване и забавяне процесите на корозия по магистралните топлопроводи и от там намаляване на пробивите, авариите и загубите от изтичане</w:t>
      </w:r>
      <w:r w:rsidR="00881F0D" w:rsidRPr="005625BF">
        <w:rPr>
          <w:rFonts w:ascii="Liberation Sans Narrow" w:hAnsi="Liberation Sans Narrow" w:cs="Consolas"/>
          <w:sz w:val="24"/>
          <w:szCs w:val="24"/>
        </w:rPr>
        <w:t xml:space="preserve">. </w:t>
      </w:r>
      <w:r w:rsidR="00D531B5" w:rsidRPr="005625BF">
        <w:rPr>
          <w:rFonts w:ascii="Liberation Sans Narrow" w:hAnsi="Liberation Sans Narrow" w:cs="Consolas"/>
          <w:sz w:val="24"/>
          <w:szCs w:val="24"/>
        </w:rPr>
        <w:t xml:space="preserve">В това перо на </w:t>
      </w:r>
      <w:r w:rsidR="00F26534" w:rsidRPr="005625BF">
        <w:rPr>
          <w:rFonts w:ascii="Liberation Sans Narrow" w:hAnsi="Liberation Sans Narrow" w:cs="Consolas"/>
          <w:sz w:val="24"/>
          <w:szCs w:val="24"/>
        </w:rPr>
        <w:t>са включени и</w:t>
      </w:r>
      <w:r w:rsidR="00D458A2" w:rsidRPr="005625BF">
        <w:rPr>
          <w:rFonts w:ascii="Liberation Sans Narrow" w:hAnsi="Liberation Sans Narrow" w:cs="Consolas"/>
          <w:sz w:val="24"/>
          <w:szCs w:val="24"/>
        </w:rPr>
        <w:t xml:space="preserve"> разходите за масло – за доливане и подмяна, на инсталациите за комбинирано производство съгласно предписанията на производителя и достигнатите действителни показатели в процеса на експлоатация.</w:t>
      </w:r>
    </w:p>
    <w:p w:rsidR="00A30F54" w:rsidRPr="005625BF" w:rsidRDefault="001A07AB" w:rsidP="00A30F54">
      <w:pPr>
        <w:pStyle w:val="a8"/>
        <w:numPr>
          <w:ilvl w:val="0"/>
          <w:numId w:val="3"/>
        </w:num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>Разходи за външни услуги – включени са разходите по доставката на биомас</w:t>
      </w:r>
      <w:r w:rsidR="00913ECB" w:rsidRPr="005625BF">
        <w:rPr>
          <w:rFonts w:ascii="Liberation Sans Narrow" w:hAnsi="Liberation Sans Narrow" w:cs="Consolas"/>
          <w:sz w:val="24"/>
          <w:szCs w:val="24"/>
        </w:rPr>
        <w:t>а и разходите за балансиране. Спрямо отчета за 201</w:t>
      </w:r>
      <w:r w:rsidR="00881F0D" w:rsidRPr="005625BF">
        <w:rPr>
          <w:rFonts w:ascii="Liberation Sans Narrow" w:hAnsi="Liberation Sans Narrow" w:cs="Consolas"/>
          <w:sz w:val="24"/>
          <w:szCs w:val="24"/>
        </w:rPr>
        <w:t>5</w:t>
      </w:r>
      <w:r w:rsidR="00913ECB" w:rsidRPr="005625BF">
        <w:rPr>
          <w:rFonts w:ascii="Liberation Sans Narrow" w:hAnsi="Liberation Sans Narrow" w:cs="Consolas"/>
          <w:sz w:val="24"/>
          <w:szCs w:val="24"/>
        </w:rPr>
        <w:t xml:space="preserve"> г. е заложено завишение в размер на 2</w:t>
      </w:r>
      <w:r w:rsidR="00881F0D" w:rsidRPr="005625BF">
        <w:rPr>
          <w:rFonts w:ascii="Liberation Sans Narrow" w:hAnsi="Liberation Sans Narrow" w:cs="Consolas"/>
          <w:sz w:val="24"/>
          <w:szCs w:val="24"/>
        </w:rPr>
        <w:t>9</w:t>
      </w:r>
      <w:r w:rsidR="00913ECB" w:rsidRPr="005625BF">
        <w:rPr>
          <w:rFonts w:ascii="Liberation Sans Narrow" w:hAnsi="Liberation Sans Narrow" w:cs="Consolas"/>
          <w:sz w:val="24"/>
          <w:szCs w:val="24"/>
        </w:rPr>
        <w:t xml:space="preserve"> х. лв.. </w:t>
      </w:r>
      <w:r w:rsidR="00881F0D" w:rsidRPr="005625BF">
        <w:rPr>
          <w:rFonts w:ascii="Liberation Sans Narrow" w:hAnsi="Liberation Sans Narrow" w:cs="Consolas"/>
          <w:sz w:val="24"/>
          <w:szCs w:val="24"/>
        </w:rPr>
        <w:t>във връзка очакваните по-ниски разходи за балансиране поради оптимизиране процеса на производство на електрическа енергия</w:t>
      </w:r>
      <w:r w:rsidR="00913ECB" w:rsidRPr="005625BF">
        <w:rPr>
          <w:rFonts w:ascii="Liberation Sans Narrow" w:hAnsi="Liberation Sans Narrow" w:cs="Consolas"/>
          <w:sz w:val="24"/>
          <w:szCs w:val="24"/>
        </w:rPr>
        <w:t>..</w:t>
      </w:r>
    </w:p>
    <w:p w:rsidR="00A30F54" w:rsidRPr="005625BF" w:rsidRDefault="00A30F54" w:rsidP="00BD057E">
      <w:pPr>
        <w:pStyle w:val="a8"/>
        <w:spacing w:after="0"/>
        <w:ind w:left="1780"/>
        <w:jc w:val="both"/>
        <w:rPr>
          <w:rFonts w:ascii="Liberation Sans Narrow" w:hAnsi="Liberation Sans Narrow" w:cs="Consolas"/>
          <w:sz w:val="24"/>
          <w:szCs w:val="24"/>
        </w:rPr>
      </w:pPr>
    </w:p>
    <w:p w:rsidR="002C08C3" w:rsidRPr="005625BF" w:rsidRDefault="002C08C3" w:rsidP="002C08C3">
      <w:pPr>
        <w:pStyle w:val="a8"/>
        <w:numPr>
          <w:ilvl w:val="0"/>
          <w:numId w:val="2"/>
        </w:numPr>
        <w:spacing w:after="0"/>
        <w:ind w:left="1134" w:hanging="429"/>
        <w:jc w:val="both"/>
        <w:rPr>
          <w:rFonts w:ascii="Liberation Sans Narrow" w:hAnsi="Liberation Sans Narrow" w:cs="Consolas"/>
          <w:b/>
          <w:sz w:val="24"/>
          <w:szCs w:val="24"/>
          <w:u w:val="single"/>
        </w:rPr>
      </w:pPr>
      <w:r w:rsidRPr="005625BF">
        <w:rPr>
          <w:rFonts w:ascii="Liberation Sans Narrow" w:hAnsi="Liberation Sans Narrow" w:cs="Consolas"/>
          <w:b/>
          <w:sz w:val="24"/>
          <w:szCs w:val="24"/>
          <w:u w:val="single"/>
        </w:rPr>
        <w:t>Регулаторна база на активите</w:t>
      </w:r>
    </w:p>
    <w:p w:rsidR="002C08C3" w:rsidRPr="005625BF" w:rsidRDefault="00A22771" w:rsidP="00DC489D">
      <w:pPr>
        <w:spacing w:after="0"/>
        <w:ind w:left="705" w:firstLine="708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 xml:space="preserve">Стойността на дълготрайните активи </w:t>
      </w:r>
      <w:r w:rsidR="00DC489D" w:rsidRPr="005625BF">
        <w:rPr>
          <w:rFonts w:ascii="Liberation Sans Narrow" w:hAnsi="Liberation Sans Narrow" w:cs="Consolas"/>
          <w:sz w:val="24"/>
          <w:szCs w:val="24"/>
        </w:rPr>
        <w:t xml:space="preserve">и размера на амортизациите </w:t>
      </w:r>
      <w:r w:rsidRPr="005625BF">
        <w:rPr>
          <w:rFonts w:ascii="Liberation Sans Narrow" w:hAnsi="Liberation Sans Narrow" w:cs="Consolas"/>
          <w:sz w:val="24"/>
          <w:szCs w:val="24"/>
        </w:rPr>
        <w:t>в Приложение №2 – Регулаторна база на активите са съгласно данните по счетоводния Баланс на Топлофикация-Враца ЕАД към 31.12.201</w:t>
      </w:r>
      <w:r w:rsidR="00FC6C36" w:rsidRPr="005625BF">
        <w:rPr>
          <w:rFonts w:ascii="Liberation Sans Narrow" w:hAnsi="Liberation Sans Narrow" w:cs="Consolas"/>
          <w:sz w:val="24"/>
          <w:szCs w:val="24"/>
        </w:rPr>
        <w:t>5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година</w:t>
      </w:r>
      <w:r w:rsidR="00DC489D" w:rsidRPr="005625BF">
        <w:rPr>
          <w:rFonts w:ascii="Liberation Sans Narrow" w:hAnsi="Liberation Sans Narrow" w:cs="Consolas"/>
          <w:sz w:val="24"/>
          <w:szCs w:val="24"/>
        </w:rPr>
        <w:t>.</w:t>
      </w:r>
    </w:p>
    <w:p w:rsidR="00DC489D" w:rsidRPr="005625BF" w:rsidRDefault="00DC489D" w:rsidP="00DC489D">
      <w:pPr>
        <w:pStyle w:val="a8"/>
        <w:spacing w:after="0"/>
        <w:ind w:left="709" w:firstLine="707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>Размера на финансиранията за дълготрайни активи са съгласно изг</w:t>
      </w:r>
      <w:r w:rsidR="00D64105" w:rsidRPr="005625BF">
        <w:rPr>
          <w:rFonts w:ascii="Liberation Sans Narrow" w:hAnsi="Liberation Sans Narrow" w:cs="Consolas"/>
          <w:sz w:val="24"/>
          <w:szCs w:val="24"/>
        </w:rPr>
        <w:t>о</w:t>
      </w:r>
      <w:r w:rsidRPr="005625BF">
        <w:rPr>
          <w:rFonts w:ascii="Liberation Sans Narrow" w:hAnsi="Liberation Sans Narrow" w:cs="Consolas"/>
          <w:sz w:val="24"/>
          <w:szCs w:val="24"/>
        </w:rPr>
        <w:t>твения Баланс към 31 Декември 201</w:t>
      </w:r>
      <w:r w:rsidR="00FC6C36" w:rsidRPr="005625BF">
        <w:rPr>
          <w:rFonts w:ascii="Liberation Sans Narrow" w:hAnsi="Liberation Sans Narrow" w:cs="Consolas"/>
          <w:sz w:val="24"/>
          <w:szCs w:val="24"/>
        </w:rPr>
        <w:t>5</w:t>
      </w:r>
      <w:r w:rsidRPr="005625BF">
        <w:rPr>
          <w:rFonts w:ascii="Liberation Sans Narrow" w:hAnsi="Liberation Sans Narrow" w:cs="Consolas"/>
          <w:sz w:val="24"/>
          <w:szCs w:val="24"/>
        </w:rPr>
        <w:t xml:space="preserve"> г..</w:t>
      </w:r>
    </w:p>
    <w:p w:rsidR="00DC489D" w:rsidRPr="005625BF" w:rsidRDefault="00DC489D" w:rsidP="00D64105">
      <w:pPr>
        <w:pStyle w:val="a8"/>
        <w:spacing w:after="0"/>
        <w:ind w:left="709" w:firstLine="707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 xml:space="preserve">Размера на оборотни капитал е определен в размер на 1/8 от оперативните парични разходи за дейността без амортизациите, съгласно т.32.5. от Раздел ІІ –Регулаторна база на активите на Указания за образуване цените на топлинната енергия и електрическата енергия от комбинирано производство при регулиране чрез  метода „Норма на възвращаемост на </w:t>
      </w:r>
      <w:r w:rsidRPr="005625BF">
        <w:rPr>
          <w:rFonts w:ascii="Liberation Sans Narrow" w:hAnsi="Liberation Sans Narrow" w:cs="Consolas"/>
          <w:sz w:val="24"/>
          <w:szCs w:val="24"/>
        </w:rPr>
        <w:lastRenderedPageBreak/>
        <w:t xml:space="preserve">капитала“, тъй като резултата от изчислението на оборотния капитал съгласно приложената формула е </w:t>
      </w:r>
      <w:r w:rsidR="00D64105" w:rsidRPr="005625BF">
        <w:rPr>
          <w:rFonts w:ascii="Liberation Sans Narrow" w:hAnsi="Liberation Sans Narrow" w:cs="Consolas"/>
          <w:sz w:val="24"/>
          <w:szCs w:val="24"/>
        </w:rPr>
        <w:t xml:space="preserve">с </w:t>
      </w:r>
      <w:r w:rsidRPr="005625BF">
        <w:rPr>
          <w:rFonts w:ascii="Liberation Sans Narrow" w:hAnsi="Liberation Sans Narrow" w:cs="Consolas"/>
          <w:sz w:val="24"/>
          <w:szCs w:val="24"/>
        </w:rPr>
        <w:t>отрицателн</w:t>
      </w:r>
      <w:r w:rsidR="00D64105" w:rsidRPr="005625BF">
        <w:rPr>
          <w:rFonts w:ascii="Liberation Sans Narrow" w:hAnsi="Liberation Sans Narrow" w:cs="Consolas"/>
          <w:sz w:val="24"/>
          <w:szCs w:val="24"/>
        </w:rPr>
        <w:t xml:space="preserve">а </w:t>
      </w:r>
      <w:r w:rsidR="00B911DB" w:rsidRPr="005625BF">
        <w:rPr>
          <w:rFonts w:ascii="Liberation Sans Narrow" w:hAnsi="Liberation Sans Narrow" w:cs="Consolas"/>
          <w:sz w:val="24"/>
          <w:szCs w:val="24"/>
        </w:rPr>
        <w:t>величина</w:t>
      </w:r>
      <w:r w:rsidR="00BF0E90" w:rsidRPr="005625BF">
        <w:rPr>
          <w:rFonts w:ascii="Liberation Sans Narrow" w:hAnsi="Liberation Sans Narrow" w:cs="Consolas"/>
          <w:sz w:val="24"/>
          <w:szCs w:val="24"/>
        </w:rPr>
        <w:t>–</w:t>
      </w:r>
      <w:r w:rsidR="00BF0E90" w:rsidRPr="005625BF">
        <w:rPr>
          <w:rFonts w:ascii="Liberation Sans Narrow" w:hAnsi="Liberation Sans Narrow" w:cs="Consolas"/>
          <w:sz w:val="24"/>
          <w:szCs w:val="24"/>
          <w:lang w:val="en-US"/>
        </w:rPr>
        <w:t>(-</w:t>
      </w:r>
      <w:r w:rsidR="0019545A" w:rsidRPr="005625BF">
        <w:rPr>
          <w:rFonts w:ascii="Liberation Sans Narrow" w:hAnsi="Liberation Sans Narrow" w:cs="Consolas"/>
          <w:sz w:val="24"/>
          <w:szCs w:val="24"/>
        </w:rPr>
        <w:t>2</w:t>
      </w:r>
      <w:r w:rsidR="00770391" w:rsidRPr="005625BF">
        <w:rPr>
          <w:rFonts w:ascii="Liberation Sans Narrow" w:hAnsi="Liberation Sans Narrow" w:cs="Consolas"/>
          <w:sz w:val="24"/>
          <w:szCs w:val="24"/>
        </w:rPr>
        <w:t xml:space="preserve"> 104 </w:t>
      </w:r>
      <w:r w:rsidR="0019545A" w:rsidRPr="005625BF">
        <w:rPr>
          <w:rFonts w:ascii="Liberation Sans Narrow" w:hAnsi="Liberation Sans Narrow" w:cs="Consolas"/>
          <w:sz w:val="24"/>
          <w:szCs w:val="24"/>
        </w:rPr>
        <w:t>х. лв.</w:t>
      </w:r>
      <w:r w:rsidR="00BF0E90" w:rsidRPr="005625BF">
        <w:rPr>
          <w:rFonts w:ascii="Liberation Sans Narrow" w:hAnsi="Liberation Sans Narrow" w:cs="Consolas"/>
          <w:sz w:val="24"/>
          <w:szCs w:val="24"/>
        </w:rPr>
        <w:t>)</w:t>
      </w:r>
      <w:r w:rsidR="00D64105" w:rsidRPr="005625BF">
        <w:rPr>
          <w:rFonts w:ascii="Liberation Sans Narrow" w:hAnsi="Liberation Sans Narrow" w:cs="Consolas"/>
          <w:sz w:val="24"/>
          <w:szCs w:val="24"/>
        </w:rPr>
        <w:t>.</w:t>
      </w:r>
    </w:p>
    <w:p w:rsidR="002C08C3" w:rsidRPr="005625BF" w:rsidRDefault="002C08C3" w:rsidP="006B62DC">
      <w:pPr>
        <w:pStyle w:val="a8"/>
        <w:rPr>
          <w:rFonts w:ascii="Liberation Sans Narrow" w:hAnsi="Liberation Sans Narrow" w:cs="Consolas"/>
          <w:sz w:val="24"/>
          <w:szCs w:val="24"/>
        </w:rPr>
      </w:pPr>
    </w:p>
    <w:p w:rsidR="007F5204" w:rsidRPr="005625BF" w:rsidRDefault="007F5204" w:rsidP="007F5204">
      <w:pPr>
        <w:pStyle w:val="a8"/>
        <w:numPr>
          <w:ilvl w:val="0"/>
          <w:numId w:val="2"/>
        </w:numPr>
        <w:spacing w:after="0"/>
        <w:ind w:left="1134" w:hanging="429"/>
        <w:jc w:val="both"/>
        <w:rPr>
          <w:rFonts w:ascii="Liberation Sans Narrow" w:hAnsi="Liberation Sans Narrow" w:cs="Consolas"/>
          <w:b/>
          <w:sz w:val="24"/>
          <w:szCs w:val="24"/>
          <w:u w:val="single"/>
        </w:rPr>
      </w:pPr>
      <w:r w:rsidRPr="005625BF">
        <w:rPr>
          <w:rFonts w:ascii="Liberation Sans Narrow" w:hAnsi="Liberation Sans Narrow" w:cs="Consolas"/>
          <w:b/>
          <w:sz w:val="24"/>
          <w:szCs w:val="24"/>
          <w:u w:val="single"/>
        </w:rPr>
        <w:t xml:space="preserve">Цени </w:t>
      </w:r>
    </w:p>
    <w:p w:rsidR="00DC1A5C" w:rsidRPr="005625BF" w:rsidRDefault="00DC1A5C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1A10F8" w:rsidRPr="005625BF" w:rsidRDefault="003024BD" w:rsidP="00937DE6">
      <w:pPr>
        <w:spacing w:after="0"/>
        <w:ind w:firstLine="705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>В резултат на така прогнозираните разходи, количества произведена и реализирана топлинна и електрическа енергия</w:t>
      </w:r>
      <w:r w:rsidR="003E0FA3" w:rsidRPr="005625BF">
        <w:rPr>
          <w:rFonts w:ascii="Liberation Sans Narrow" w:hAnsi="Liberation Sans Narrow" w:cs="Consolas"/>
          <w:sz w:val="24"/>
          <w:szCs w:val="24"/>
        </w:rPr>
        <w:t xml:space="preserve"> и използвания ценови модел на Комисията за енергийно и водно регулиране при спазване на изискванията на комисията дадени с писмо Е-14-00-</w:t>
      </w:r>
      <w:r w:rsidR="00AA0738" w:rsidRPr="005625BF">
        <w:rPr>
          <w:rFonts w:ascii="Liberation Sans Narrow" w:hAnsi="Liberation Sans Narrow" w:cs="Consolas"/>
          <w:sz w:val="24"/>
          <w:szCs w:val="24"/>
        </w:rPr>
        <w:t>9</w:t>
      </w:r>
      <w:r w:rsidR="003E0FA3" w:rsidRPr="005625BF">
        <w:rPr>
          <w:rFonts w:ascii="Liberation Sans Narrow" w:hAnsi="Liberation Sans Narrow" w:cs="Consolas"/>
          <w:sz w:val="24"/>
          <w:szCs w:val="24"/>
        </w:rPr>
        <w:t>/ 1</w:t>
      </w:r>
      <w:r w:rsidR="00AA0738" w:rsidRPr="005625BF">
        <w:rPr>
          <w:rFonts w:ascii="Liberation Sans Narrow" w:hAnsi="Liberation Sans Narrow" w:cs="Consolas"/>
          <w:sz w:val="24"/>
          <w:szCs w:val="24"/>
        </w:rPr>
        <w:t>7</w:t>
      </w:r>
      <w:r w:rsidR="003E0FA3" w:rsidRPr="005625BF">
        <w:rPr>
          <w:rFonts w:ascii="Liberation Sans Narrow" w:hAnsi="Liberation Sans Narrow" w:cs="Consolas"/>
          <w:sz w:val="24"/>
          <w:szCs w:val="24"/>
        </w:rPr>
        <w:t>.03.201</w:t>
      </w:r>
      <w:r w:rsidR="00AA0738" w:rsidRPr="005625BF">
        <w:rPr>
          <w:rFonts w:ascii="Liberation Sans Narrow" w:hAnsi="Liberation Sans Narrow" w:cs="Consolas"/>
          <w:sz w:val="24"/>
          <w:szCs w:val="24"/>
        </w:rPr>
        <w:t>6</w:t>
      </w:r>
      <w:r w:rsidR="003E0FA3" w:rsidRPr="005625BF">
        <w:rPr>
          <w:rFonts w:ascii="Liberation Sans Narrow" w:hAnsi="Liberation Sans Narrow" w:cs="Consolas"/>
          <w:sz w:val="24"/>
          <w:szCs w:val="24"/>
        </w:rPr>
        <w:t xml:space="preserve"> г., за новия ценови период започващ от 01 Юли 201</w:t>
      </w:r>
      <w:r w:rsidR="00AA0738" w:rsidRPr="005625BF">
        <w:rPr>
          <w:rFonts w:ascii="Liberation Sans Narrow" w:hAnsi="Liberation Sans Narrow" w:cs="Consolas"/>
          <w:sz w:val="24"/>
          <w:szCs w:val="24"/>
        </w:rPr>
        <w:t>6</w:t>
      </w:r>
      <w:r w:rsidR="003E0FA3" w:rsidRPr="005625BF">
        <w:rPr>
          <w:rFonts w:ascii="Liberation Sans Narrow" w:hAnsi="Liberation Sans Narrow" w:cs="Consolas"/>
          <w:sz w:val="24"/>
          <w:szCs w:val="24"/>
        </w:rPr>
        <w:t xml:space="preserve"> г. </w:t>
      </w:r>
      <w:r w:rsidR="00D36084" w:rsidRPr="005625BF">
        <w:rPr>
          <w:rFonts w:ascii="Liberation Sans Narrow" w:hAnsi="Liberation Sans Narrow" w:cs="Consolas"/>
          <w:sz w:val="24"/>
          <w:szCs w:val="24"/>
        </w:rPr>
        <w:t>са</w:t>
      </w:r>
      <w:r w:rsidR="003E0FA3" w:rsidRPr="005625BF">
        <w:rPr>
          <w:rFonts w:ascii="Liberation Sans Narrow" w:hAnsi="Liberation Sans Narrow" w:cs="Consolas"/>
          <w:sz w:val="24"/>
          <w:szCs w:val="24"/>
        </w:rPr>
        <w:t xml:space="preserve"> формирани следните цени:</w:t>
      </w:r>
    </w:p>
    <w:p w:rsidR="003E0FA3" w:rsidRPr="005625BF" w:rsidRDefault="003E0FA3" w:rsidP="00AA0738">
      <w:pPr>
        <w:spacing w:after="0"/>
        <w:ind w:left="709" w:firstLine="284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 xml:space="preserve">Цена топлинната енергия </w:t>
      </w:r>
      <w:r w:rsidRPr="005625BF">
        <w:rPr>
          <w:rFonts w:ascii="Liberation Sans Narrow" w:hAnsi="Liberation Sans Narrow" w:cs="Consolas"/>
          <w:sz w:val="24"/>
          <w:szCs w:val="24"/>
        </w:rPr>
        <w:tab/>
      </w:r>
      <w:r w:rsidRPr="005625BF">
        <w:rPr>
          <w:rFonts w:ascii="Liberation Sans Narrow" w:hAnsi="Liberation Sans Narrow" w:cs="Consolas"/>
          <w:sz w:val="24"/>
          <w:szCs w:val="24"/>
        </w:rPr>
        <w:tab/>
      </w:r>
      <w:r w:rsidR="00AA0738" w:rsidRPr="005625BF">
        <w:rPr>
          <w:rFonts w:ascii="Liberation Sans Narrow" w:hAnsi="Liberation Sans Narrow" w:cs="Consolas"/>
          <w:sz w:val="24"/>
          <w:szCs w:val="24"/>
        </w:rPr>
        <w:tab/>
      </w:r>
      <w:r w:rsidR="00AA0738" w:rsidRPr="005625BF">
        <w:rPr>
          <w:rFonts w:ascii="Liberation Sans Narrow" w:hAnsi="Liberation Sans Narrow" w:cs="Consolas"/>
          <w:sz w:val="24"/>
          <w:szCs w:val="24"/>
        </w:rPr>
        <w:tab/>
      </w:r>
      <w:r w:rsidR="00AA0738" w:rsidRPr="005625BF">
        <w:rPr>
          <w:rFonts w:ascii="Liberation Sans Narrow" w:hAnsi="Liberation Sans Narrow" w:cs="Consolas"/>
          <w:sz w:val="24"/>
          <w:szCs w:val="24"/>
        </w:rPr>
        <w:tab/>
      </w:r>
      <w:r w:rsidRPr="005625BF">
        <w:rPr>
          <w:rFonts w:ascii="Liberation Sans Narrow" w:hAnsi="Liberation Sans Narrow" w:cs="Consolas"/>
          <w:sz w:val="24"/>
          <w:szCs w:val="24"/>
        </w:rPr>
        <w:t>-</w:t>
      </w:r>
      <w:r w:rsidRPr="005625BF">
        <w:rPr>
          <w:rFonts w:ascii="Liberation Sans Narrow" w:hAnsi="Liberation Sans Narrow" w:cs="Consolas"/>
          <w:sz w:val="24"/>
          <w:szCs w:val="24"/>
        </w:rPr>
        <w:tab/>
      </w:r>
      <w:r w:rsidR="00E80A77" w:rsidRPr="005625BF">
        <w:rPr>
          <w:rFonts w:ascii="Liberation Sans Narrow" w:hAnsi="Liberation Sans Narrow" w:cs="Consolas"/>
          <w:sz w:val="24"/>
          <w:szCs w:val="24"/>
        </w:rPr>
        <w:t xml:space="preserve">  </w:t>
      </w:r>
      <w:r w:rsidR="001906FB">
        <w:rPr>
          <w:rFonts w:ascii="Liberation Sans Narrow" w:hAnsi="Liberation Sans Narrow" w:cs="Consolas"/>
          <w:sz w:val="24"/>
          <w:szCs w:val="24"/>
        </w:rPr>
        <w:t>7</w:t>
      </w:r>
      <w:r w:rsidR="00E80A77" w:rsidRPr="005625BF">
        <w:rPr>
          <w:rFonts w:ascii="Liberation Sans Narrow" w:hAnsi="Liberation Sans Narrow" w:cs="Consolas"/>
          <w:sz w:val="24"/>
          <w:szCs w:val="24"/>
        </w:rPr>
        <w:t>5</w:t>
      </w:r>
      <w:r w:rsidR="002D6AF5" w:rsidRPr="005625BF">
        <w:rPr>
          <w:rFonts w:ascii="Liberation Sans Narrow" w:hAnsi="Liberation Sans Narrow" w:cs="Consolas"/>
          <w:sz w:val="24"/>
          <w:szCs w:val="24"/>
        </w:rPr>
        <w:t>.</w:t>
      </w:r>
      <w:r w:rsidR="001906FB">
        <w:rPr>
          <w:rFonts w:ascii="Liberation Sans Narrow" w:hAnsi="Liberation Sans Narrow" w:cs="Consolas"/>
          <w:sz w:val="24"/>
          <w:szCs w:val="24"/>
        </w:rPr>
        <w:t>09</w:t>
      </w:r>
      <w:r w:rsidR="002D6AF5" w:rsidRPr="005625BF">
        <w:rPr>
          <w:rFonts w:ascii="Liberation Sans Narrow" w:hAnsi="Liberation Sans Narrow" w:cs="Consolas"/>
          <w:sz w:val="24"/>
          <w:szCs w:val="24"/>
        </w:rPr>
        <w:t xml:space="preserve"> лв /</w:t>
      </w:r>
      <w:proofErr w:type="spellStart"/>
      <w:r w:rsidR="002D6AF5" w:rsidRPr="005625BF">
        <w:rPr>
          <w:rFonts w:ascii="Liberation Sans Narrow" w:hAnsi="Liberation Sans Narrow" w:cs="Consolas"/>
          <w:sz w:val="24"/>
          <w:szCs w:val="24"/>
        </w:rPr>
        <w:t>МВт</w:t>
      </w:r>
      <w:proofErr w:type="spellEnd"/>
      <w:r w:rsidR="002D6AF5" w:rsidRPr="005625BF">
        <w:rPr>
          <w:rFonts w:ascii="Liberation Sans Narrow" w:hAnsi="Liberation Sans Narrow" w:cs="Consolas"/>
          <w:sz w:val="24"/>
          <w:szCs w:val="24"/>
        </w:rPr>
        <w:t xml:space="preserve"> без ДДС</w:t>
      </w:r>
    </w:p>
    <w:p w:rsidR="003E0FA3" w:rsidRPr="005625BF" w:rsidRDefault="003E0FA3" w:rsidP="00AA0738">
      <w:pPr>
        <w:spacing w:after="0"/>
        <w:ind w:left="709" w:firstLine="284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 xml:space="preserve">Цена на електрическа енергия от комбинирано производство - </w:t>
      </w:r>
      <w:r w:rsidRPr="005625BF">
        <w:rPr>
          <w:rFonts w:ascii="Liberation Sans Narrow" w:hAnsi="Liberation Sans Narrow" w:cs="Consolas"/>
          <w:sz w:val="24"/>
          <w:szCs w:val="24"/>
        </w:rPr>
        <w:tab/>
      </w:r>
      <w:r w:rsidR="001906FB">
        <w:rPr>
          <w:rFonts w:ascii="Liberation Sans Narrow" w:hAnsi="Liberation Sans Narrow" w:cs="Consolas"/>
          <w:sz w:val="24"/>
          <w:szCs w:val="24"/>
        </w:rPr>
        <w:t>177</w:t>
      </w:r>
      <w:r w:rsidR="002D6AF5" w:rsidRPr="005625BF">
        <w:rPr>
          <w:rFonts w:ascii="Liberation Sans Narrow" w:hAnsi="Liberation Sans Narrow" w:cs="Consolas"/>
          <w:sz w:val="24"/>
          <w:szCs w:val="24"/>
        </w:rPr>
        <w:t>.</w:t>
      </w:r>
      <w:r w:rsidR="001906FB">
        <w:rPr>
          <w:rFonts w:ascii="Liberation Sans Narrow" w:hAnsi="Liberation Sans Narrow" w:cs="Consolas"/>
          <w:sz w:val="24"/>
          <w:szCs w:val="24"/>
        </w:rPr>
        <w:t>93</w:t>
      </w:r>
      <w:r w:rsidR="002D6AF5" w:rsidRPr="005625BF">
        <w:rPr>
          <w:rFonts w:ascii="Liberation Sans Narrow" w:hAnsi="Liberation Sans Narrow" w:cs="Consolas"/>
          <w:sz w:val="24"/>
          <w:szCs w:val="24"/>
        </w:rPr>
        <w:t xml:space="preserve"> лв/МВТч без ДДС</w:t>
      </w:r>
    </w:p>
    <w:p w:rsidR="00397972" w:rsidRPr="005625BF" w:rsidRDefault="00397972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E23FD5" w:rsidRPr="005625BF" w:rsidRDefault="00D36084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>Ниския относителен дял на реализираната топлинна енергияе една от причините да се формира висока цена на топ</w:t>
      </w:r>
      <w:r w:rsidR="00637690" w:rsidRPr="005625BF">
        <w:rPr>
          <w:rFonts w:ascii="Liberation Sans Narrow" w:hAnsi="Liberation Sans Narrow" w:cs="Consolas"/>
          <w:sz w:val="24"/>
          <w:szCs w:val="24"/>
        </w:rPr>
        <w:t xml:space="preserve">линната енергия за новия ценови период. </w:t>
      </w:r>
      <w:r w:rsidR="003E0FA3" w:rsidRPr="005625BF">
        <w:rPr>
          <w:rFonts w:ascii="Liberation Sans Narrow" w:hAnsi="Liberation Sans Narrow" w:cs="Consolas"/>
          <w:sz w:val="24"/>
          <w:szCs w:val="24"/>
        </w:rPr>
        <w:t>Вземайки предвид действащата цена на топлинната енергия</w:t>
      </w:r>
      <w:r w:rsidR="00C94F1A" w:rsidRPr="005625BF">
        <w:rPr>
          <w:rFonts w:ascii="Liberation Sans Narrow" w:hAnsi="Liberation Sans Narrow" w:cs="Consolas"/>
          <w:sz w:val="24"/>
          <w:szCs w:val="24"/>
        </w:rPr>
        <w:t xml:space="preserve"> към настоящия момент в предвид </w:t>
      </w:r>
      <w:r w:rsidR="003E0FA3" w:rsidRPr="005625BF">
        <w:rPr>
          <w:rFonts w:ascii="Liberation Sans Narrow" w:hAnsi="Liberation Sans Narrow" w:cs="Consolas"/>
          <w:sz w:val="24"/>
          <w:szCs w:val="24"/>
        </w:rPr>
        <w:t xml:space="preserve">финансово икономическите условия в гр. Враца, равнището на заетост и размера на безработицата, липсата реално работеща икономика </w:t>
      </w:r>
      <w:r w:rsidR="00BA4C7A" w:rsidRPr="005625BF">
        <w:rPr>
          <w:rFonts w:ascii="Liberation Sans Narrow" w:hAnsi="Liberation Sans Narrow" w:cs="Consolas"/>
          <w:sz w:val="24"/>
          <w:szCs w:val="24"/>
        </w:rPr>
        <w:t>в</w:t>
      </w:r>
      <w:r w:rsidR="003E0FA3" w:rsidRPr="005625BF">
        <w:rPr>
          <w:rFonts w:ascii="Liberation Sans Narrow" w:hAnsi="Liberation Sans Narrow" w:cs="Consolas"/>
          <w:sz w:val="24"/>
          <w:szCs w:val="24"/>
        </w:rPr>
        <w:t xml:space="preserve"> града и региона, предлагаме на Комисията да бъде запазен</w:t>
      </w:r>
      <w:r w:rsidR="00637690" w:rsidRPr="005625BF">
        <w:rPr>
          <w:rFonts w:ascii="Liberation Sans Narrow" w:hAnsi="Liberation Sans Narrow" w:cs="Consolas"/>
          <w:sz w:val="24"/>
          <w:szCs w:val="24"/>
        </w:rPr>
        <w:t xml:space="preserve">оравнището на </w:t>
      </w:r>
      <w:r w:rsidR="003E0FA3" w:rsidRPr="005625BF">
        <w:rPr>
          <w:rFonts w:ascii="Liberation Sans Narrow" w:hAnsi="Liberation Sans Narrow" w:cs="Consolas"/>
          <w:sz w:val="24"/>
          <w:szCs w:val="24"/>
        </w:rPr>
        <w:t>действащата цена на топлинната енергия и през новия ценови период.</w:t>
      </w:r>
      <w:r w:rsidR="00BA4C7A" w:rsidRPr="005625BF">
        <w:rPr>
          <w:rFonts w:ascii="Liberation Sans Narrow" w:hAnsi="Liberation Sans Narrow" w:cs="Consolas"/>
          <w:sz w:val="24"/>
          <w:szCs w:val="24"/>
        </w:rPr>
        <w:t>.</w:t>
      </w:r>
      <w:r w:rsidR="00E23FD5" w:rsidRPr="005625BF">
        <w:rPr>
          <w:rFonts w:ascii="Liberation Sans Narrow" w:hAnsi="Liberation Sans Narrow" w:cs="Consolas"/>
          <w:sz w:val="24"/>
          <w:szCs w:val="24"/>
          <w:lang w:val="en-US"/>
        </w:rPr>
        <w:t xml:space="preserve"> В </w:t>
      </w:r>
      <w:proofErr w:type="spellStart"/>
      <w:r w:rsidR="00E23FD5" w:rsidRPr="005625BF">
        <w:rPr>
          <w:rFonts w:ascii="Liberation Sans Narrow" w:hAnsi="Liberation Sans Narrow" w:cs="Consolas"/>
          <w:sz w:val="24"/>
          <w:szCs w:val="24"/>
          <w:lang w:val="en-US"/>
        </w:rPr>
        <w:t>тази</w:t>
      </w:r>
      <w:proofErr w:type="spellEnd"/>
      <w:r w:rsidR="001906FB">
        <w:rPr>
          <w:rFonts w:ascii="Liberation Sans Narrow" w:hAnsi="Liberation Sans Narrow" w:cs="Consolas"/>
          <w:sz w:val="24"/>
          <w:szCs w:val="24"/>
        </w:rPr>
        <w:t xml:space="preserve"> </w:t>
      </w:r>
      <w:proofErr w:type="spellStart"/>
      <w:r w:rsidR="00E23FD5" w:rsidRPr="005625BF">
        <w:rPr>
          <w:rFonts w:ascii="Liberation Sans Narrow" w:hAnsi="Liberation Sans Narrow" w:cs="Consolas"/>
          <w:sz w:val="24"/>
          <w:szCs w:val="24"/>
          <w:lang w:val="en-US"/>
        </w:rPr>
        <w:t>връзка</w:t>
      </w:r>
      <w:proofErr w:type="spellEnd"/>
      <w:r w:rsidR="001906FB">
        <w:rPr>
          <w:rFonts w:ascii="Liberation Sans Narrow" w:hAnsi="Liberation Sans Narrow" w:cs="Consolas"/>
          <w:sz w:val="24"/>
          <w:szCs w:val="24"/>
        </w:rPr>
        <w:t xml:space="preserve"> </w:t>
      </w:r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 xml:space="preserve">и </w:t>
      </w:r>
      <w:proofErr w:type="spellStart"/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>поради</w:t>
      </w:r>
      <w:proofErr w:type="spellEnd"/>
      <w:r w:rsidR="001906FB">
        <w:rPr>
          <w:rFonts w:ascii="Liberation Sans Narrow" w:hAnsi="Liberation Sans Narrow" w:cs="Consolas"/>
          <w:sz w:val="24"/>
          <w:szCs w:val="24"/>
        </w:rPr>
        <w:t xml:space="preserve"> </w:t>
      </w:r>
      <w:proofErr w:type="spellStart"/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>факта</w:t>
      </w:r>
      <w:proofErr w:type="spellEnd"/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 xml:space="preserve">, че </w:t>
      </w:r>
      <w:proofErr w:type="spellStart"/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>голяма</w:t>
      </w:r>
      <w:proofErr w:type="spellEnd"/>
      <w:r w:rsidR="001906FB">
        <w:rPr>
          <w:rFonts w:ascii="Liberation Sans Narrow" w:hAnsi="Liberation Sans Narrow" w:cs="Consolas"/>
          <w:sz w:val="24"/>
          <w:szCs w:val="24"/>
        </w:rPr>
        <w:t xml:space="preserve"> </w:t>
      </w:r>
      <w:proofErr w:type="spellStart"/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>част</w:t>
      </w:r>
      <w:proofErr w:type="spellEnd"/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 xml:space="preserve"> от </w:t>
      </w:r>
      <w:proofErr w:type="spellStart"/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>топлинната</w:t>
      </w:r>
      <w:proofErr w:type="spellEnd"/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 xml:space="preserve"> енергия </w:t>
      </w:r>
      <w:proofErr w:type="spellStart"/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>се</w:t>
      </w:r>
      <w:proofErr w:type="spellEnd"/>
      <w:r w:rsidR="001906FB">
        <w:rPr>
          <w:rFonts w:ascii="Liberation Sans Narrow" w:hAnsi="Liberation Sans Narrow" w:cs="Consolas"/>
          <w:sz w:val="24"/>
          <w:szCs w:val="24"/>
        </w:rPr>
        <w:t xml:space="preserve"> </w:t>
      </w:r>
      <w:proofErr w:type="spellStart"/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>произв</w:t>
      </w:r>
      <w:proofErr w:type="spellEnd"/>
      <w:r w:rsidR="002D6AF5" w:rsidRPr="005625BF">
        <w:rPr>
          <w:rFonts w:ascii="Liberation Sans Narrow" w:hAnsi="Liberation Sans Narrow" w:cs="Consolas"/>
          <w:sz w:val="24"/>
          <w:szCs w:val="24"/>
        </w:rPr>
        <w:t>е</w:t>
      </w:r>
      <w:proofErr w:type="spellStart"/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>жда</w:t>
      </w:r>
      <w:proofErr w:type="spellEnd"/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 xml:space="preserve"> от </w:t>
      </w:r>
      <w:proofErr w:type="spellStart"/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>водогрейни</w:t>
      </w:r>
      <w:proofErr w:type="spellEnd"/>
      <w:r w:rsidR="001906FB">
        <w:rPr>
          <w:rFonts w:ascii="Liberation Sans Narrow" w:hAnsi="Liberation Sans Narrow" w:cs="Consolas"/>
          <w:sz w:val="24"/>
          <w:szCs w:val="24"/>
        </w:rPr>
        <w:t xml:space="preserve"> </w:t>
      </w:r>
      <w:proofErr w:type="spellStart"/>
      <w:r w:rsidR="002D6AF5" w:rsidRPr="005625BF">
        <w:rPr>
          <w:rFonts w:ascii="Liberation Sans Narrow" w:hAnsi="Liberation Sans Narrow" w:cs="Consolas"/>
          <w:sz w:val="24"/>
          <w:szCs w:val="24"/>
          <w:lang w:val="en-US"/>
        </w:rPr>
        <w:t>котли</w:t>
      </w:r>
      <w:proofErr w:type="spellEnd"/>
      <w:r w:rsidR="001906FB">
        <w:rPr>
          <w:rFonts w:ascii="Liberation Sans Narrow" w:hAnsi="Liberation Sans Narrow" w:cs="Consolas"/>
          <w:sz w:val="24"/>
          <w:szCs w:val="24"/>
        </w:rPr>
        <w:t xml:space="preserve"> </w:t>
      </w:r>
      <w:proofErr w:type="spellStart"/>
      <w:r w:rsidR="00E23FD5" w:rsidRPr="005625BF">
        <w:rPr>
          <w:rFonts w:ascii="Liberation Sans Narrow" w:hAnsi="Liberation Sans Narrow" w:cs="Consolas"/>
          <w:sz w:val="24"/>
          <w:szCs w:val="24"/>
          <w:lang w:val="en-US"/>
        </w:rPr>
        <w:t>предлагаме</w:t>
      </w:r>
      <w:proofErr w:type="spellEnd"/>
      <w:r w:rsidR="00E23FD5" w:rsidRPr="005625BF">
        <w:rPr>
          <w:rFonts w:ascii="Liberation Sans Narrow" w:hAnsi="Liberation Sans Narrow" w:cs="Consolas"/>
          <w:sz w:val="24"/>
          <w:szCs w:val="24"/>
          <w:lang w:val="en-US"/>
        </w:rPr>
        <w:t xml:space="preserve"> да </w:t>
      </w:r>
      <w:proofErr w:type="spellStart"/>
      <w:r w:rsidR="00E23FD5" w:rsidRPr="005625BF">
        <w:rPr>
          <w:rFonts w:ascii="Liberation Sans Narrow" w:hAnsi="Liberation Sans Narrow" w:cs="Consolas"/>
          <w:sz w:val="24"/>
          <w:szCs w:val="24"/>
          <w:lang w:val="en-US"/>
        </w:rPr>
        <w:t>бъде</w:t>
      </w:r>
      <w:proofErr w:type="spellEnd"/>
      <w:r w:rsidR="001906FB">
        <w:rPr>
          <w:rFonts w:ascii="Liberation Sans Narrow" w:hAnsi="Liberation Sans Narrow" w:cs="Consolas"/>
          <w:sz w:val="24"/>
          <w:szCs w:val="24"/>
        </w:rPr>
        <w:t xml:space="preserve"> </w:t>
      </w:r>
      <w:proofErr w:type="spellStart"/>
      <w:r w:rsidR="00E23FD5" w:rsidRPr="005625BF">
        <w:rPr>
          <w:rFonts w:ascii="Liberation Sans Narrow" w:hAnsi="Liberation Sans Narrow" w:cs="Consolas"/>
          <w:sz w:val="24"/>
          <w:szCs w:val="24"/>
          <w:lang w:val="en-US"/>
        </w:rPr>
        <w:t>увеличена</w:t>
      </w:r>
      <w:proofErr w:type="spellEnd"/>
      <w:r w:rsidR="001906FB">
        <w:rPr>
          <w:rFonts w:ascii="Liberation Sans Narrow" w:hAnsi="Liberation Sans Narrow" w:cs="Consolas"/>
          <w:sz w:val="24"/>
          <w:szCs w:val="24"/>
        </w:rPr>
        <w:t xml:space="preserve"> </w:t>
      </w:r>
      <w:proofErr w:type="spellStart"/>
      <w:r w:rsidR="00E23FD5" w:rsidRPr="005625BF">
        <w:rPr>
          <w:rFonts w:ascii="Liberation Sans Narrow" w:hAnsi="Liberation Sans Narrow" w:cs="Consolas"/>
          <w:sz w:val="24"/>
          <w:szCs w:val="24"/>
          <w:lang w:val="en-US"/>
        </w:rPr>
        <w:t>добавката</w:t>
      </w:r>
      <w:proofErr w:type="spellEnd"/>
      <w:r w:rsidR="001906FB">
        <w:rPr>
          <w:rFonts w:ascii="Liberation Sans Narrow" w:hAnsi="Liberation Sans Narrow" w:cs="Consolas"/>
          <w:sz w:val="24"/>
          <w:szCs w:val="24"/>
        </w:rPr>
        <w:t xml:space="preserve"> </w:t>
      </w:r>
      <w:bookmarkStart w:id="0" w:name="_GoBack"/>
      <w:bookmarkEnd w:id="0"/>
      <w:r w:rsidR="00E23FD5" w:rsidRPr="005625BF">
        <w:rPr>
          <w:rFonts w:ascii="Liberation Sans Narrow" w:hAnsi="Liberation Sans Narrow" w:cs="Consolas"/>
          <w:sz w:val="24"/>
          <w:szCs w:val="24"/>
        </w:rPr>
        <w:t xml:space="preserve">към получената индивидуална цена на електрическата енергия на </w:t>
      </w:r>
      <w:r w:rsidR="006A1174">
        <w:rPr>
          <w:rFonts w:ascii="Liberation Sans Narrow" w:hAnsi="Liberation Sans Narrow" w:cs="Consolas"/>
          <w:sz w:val="24"/>
          <w:szCs w:val="24"/>
        </w:rPr>
        <w:t>65</w:t>
      </w:r>
      <w:r w:rsidR="00B20B79" w:rsidRPr="005625BF">
        <w:rPr>
          <w:rFonts w:ascii="Liberation Sans Narrow" w:hAnsi="Liberation Sans Narrow" w:cs="Consolas"/>
          <w:sz w:val="24"/>
          <w:szCs w:val="24"/>
        </w:rPr>
        <w:t xml:space="preserve">.00 лева за </w:t>
      </w:r>
      <w:proofErr w:type="spellStart"/>
      <w:r w:rsidR="00B20B79" w:rsidRPr="005625BF">
        <w:rPr>
          <w:rFonts w:ascii="Liberation Sans Narrow" w:hAnsi="Liberation Sans Narrow" w:cs="Consolas"/>
          <w:sz w:val="24"/>
          <w:szCs w:val="24"/>
        </w:rPr>
        <w:t>М</w:t>
      </w:r>
      <w:r w:rsidR="00E23FD5" w:rsidRPr="005625BF">
        <w:rPr>
          <w:rFonts w:ascii="Liberation Sans Narrow" w:hAnsi="Liberation Sans Narrow" w:cs="Consolas"/>
          <w:sz w:val="24"/>
          <w:szCs w:val="24"/>
        </w:rPr>
        <w:t>Вч</w:t>
      </w:r>
      <w:proofErr w:type="spellEnd"/>
      <w:r w:rsidR="00E23FD5" w:rsidRPr="005625BF">
        <w:rPr>
          <w:rFonts w:ascii="Liberation Sans Narrow" w:hAnsi="Liberation Sans Narrow" w:cs="Consolas"/>
          <w:sz w:val="24"/>
          <w:szCs w:val="24"/>
        </w:rPr>
        <w:t xml:space="preserve">. Промяната ще позволи да бъде утвърдена една социално по </w:t>
      </w:r>
      <w:proofErr w:type="spellStart"/>
      <w:r w:rsidR="00E23FD5" w:rsidRPr="005625BF">
        <w:rPr>
          <w:rFonts w:ascii="Liberation Sans Narrow" w:hAnsi="Liberation Sans Narrow" w:cs="Consolas"/>
          <w:sz w:val="24"/>
          <w:szCs w:val="24"/>
        </w:rPr>
        <w:t>понисима</w:t>
      </w:r>
      <w:proofErr w:type="spellEnd"/>
      <w:r w:rsidR="00E23FD5" w:rsidRPr="005625BF">
        <w:rPr>
          <w:rFonts w:ascii="Liberation Sans Narrow" w:hAnsi="Liberation Sans Narrow" w:cs="Consolas"/>
          <w:sz w:val="24"/>
          <w:szCs w:val="24"/>
        </w:rPr>
        <w:t xml:space="preserve"> цена на топлинната енергия за потребителите в гр. Враца. </w:t>
      </w:r>
    </w:p>
    <w:p w:rsidR="00BA4C7A" w:rsidRPr="005625BF" w:rsidRDefault="00BA4C7A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397972" w:rsidRPr="005625BF" w:rsidRDefault="00397972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397972" w:rsidRPr="005625BF" w:rsidRDefault="00397972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ab/>
        <w:t>Изготвил,</w:t>
      </w:r>
    </w:p>
    <w:p w:rsidR="00397972" w:rsidRPr="005625BF" w:rsidRDefault="00397972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ab/>
        <w:t>ПЕТКО ПЕТКОВ</w:t>
      </w:r>
    </w:p>
    <w:p w:rsidR="00397972" w:rsidRPr="005625BF" w:rsidRDefault="00397972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ab/>
        <w:t>ГЛ. СЧЕТОВОДИТЕЛ</w:t>
      </w:r>
    </w:p>
    <w:p w:rsidR="00E75B98" w:rsidRPr="005625BF" w:rsidRDefault="00E75B98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E75B98" w:rsidRPr="005625BF" w:rsidRDefault="00E75B98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</w:p>
    <w:p w:rsidR="00E75B98" w:rsidRDefault="00E75B98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 w:rsidRPr="005625BF">
        <w:rPr>
          <w:rFonts w:ascii="Liberation Sans Narrow" w:hAnsi="Liberation Sans Narrow" w:cs="Consolas"/>
          <w:sz w:val="24"/>
          <w:szCs w:val="24"/>
        </w:rPr>
        <w:tab/>
      </w:r>
      <w:r w:rsidRPr="005625BF">
        <w:rPr>
          <w:rFonts w:ascii="Liberation Sans Narrow" w:hAnsi="Liberation Sans Narrow" w:cs="Consolas"/>
          <w:sz w:val="24"/>
          <w:szCs w:val="24"/>
        </w:rPr>
        <w:tab/>
      </w:r>
      <w:r w:rsidRPr="005625BF">
        <w:rPr>
          <w:rFonts w:ascii="Liberation Sans Narrow" w:hAnsi="Liberation Sans Narrow" w:cs="Consolas"/>
          <w:sz w:val="24"/>
          <w:szCs w:val="24"/>
        </w:rPr>
        <w:tab/>
      </w:r>
      <w:r w:rsidRPr="005625BF">
        <w:rPr>
          <w:rFonts w:ascii="Liberation Sans Narrow" w:hAnsi="Liberation Sans Narrow" w:cs="Consolas"/>
          <w:sz w:val="24"/>
          <w:szCs w:val="24"/>
        </w:rPr>
        <w:tab/>
      </w:r>
      <w:r w:rsidRPr="005625BF">
        <w:rPr>
          <w:rFonts w:ascii="Liberation Sans Narrow" w:hAnsi="Liberation Sans Narrow" w:cs="Consolas"/>
          <w:sz w:val="24"/>
          <w:szCs w:val="24"/>
        </w:rPr>
        <w:tab/>
      </w:r>
      <w:r w:rsidRPr="005625BF">
        <w:rPr>
          <w:rFonts w:ascii="Liberation Sans Narrow" w:hAnsi="Liberation Sans Narrow" w:cs="Consolas"/>
          <w:sz w:val="24"/>
          <w:szCs w:val="24"/>
        </w:rPr>
        <w:tab/>
      </w:r>
      <w:r w:rsidRPr="005625BF">
        <w:rPr>
          <w:rFonts w:ascii="Liberation Sans Narrow" w:hAnsi="Liberation Sans Narrow" w:cs="Consolas"/>
          <w:sz w:val="24"/>
          <w:szCs w:val="24"/>
        </w:rPr>
        <w:tab/>
        <w:t>инж. РАДОСЛАВ МИХАЙЛОВ</w:t>
      </w:r>
    </w:p>
    <w:p w:rsidR="00E75B98" w:rsidRPr="008279CF" w:rsidRDefault="00E75B98" w:rsidP="0067783D">
      <w:pPr>
        <w:spacing w:after="0"/>
        <w:jc w:val="both"/>
        <w:rPr>
          <w:rFonts w:ascii="Liberation Sans Narrow" w:hAnsi="Liberation Sans Narrow" w:cs="Consolas"/>
          <w:sz w:val="24"/>
          <w:szCs w:val="24"/>
        </w:rPr>
      </w:pPr>
      <w:r>
        <w:rPr>
          <w:rFonts w:ascii="Liberation Sans Narrow" w:hAnsi="Liberation Sans Narrow" w:cs="Consolas"/>
          <w:sz w:val="24"/>
          <w:szCs w:val="24"/>
        </w:rPr>
        <w:tab/>
      </w:r>
      <w:r>
        <w:rPr>
          <w:rFonts w:ascii="Liberation Sans Narrow" w:hAnsi="Liberation Sans Narrow" w:cs="Consolas"/>
          <w:sz w:val="24"/>
          <w:szCs w:val="24"/>
        </w:rPr>
        <w:tab/>
      </w:r>
      <w:r>
        <w:rPr>
          <w:rFonts w:ascii="Liberation Sans Narrow" w:hAnsi="Liberation Sans Narrow" w:cs="Consolas"/>
          <w:sz w:val="24"/>
          <w:szCs w:val="24"/>
        </w:rPr>
        <w:tab/>
      </w:r>
      <w:r>
        <w:rPr>
          <w:rFonts w:ascii="Liberation Sans Narrow" w:hAnsi="Liberation Sans Narrow" w:cs="Consolas"/>
          <w:sz w:val="24"/>
          <w:szCs w:val="24"/>
        </w:rPr>
        <w:tab/>
      </w:r>
      <w:r>
        <w:rPr>
          <w:rFonts w:ascii="Liberation Sans Narrow" w:hAnsi="Liberation Sans Narrow" w:cs="Consolas"/>
          <w:sz w:val="24"/>
          <w:szCs w:val="24"/>
        </w:rPr>
        <w:tab/>
      </w:r>
      <w:r>
        <w:rPr>
          <w:rFonts w:ascii="Liberation Sans Narrow" w:hAnsi="Liberation Sans Narrow" w:cs="Consolas"/>
          <w:sz w:val="24"/>
          <w:szCs w:val="24"/>
        </w:rPr>
        <w:tab/>
      </w:r>
      <w:r>
        <w:rPr>
          <w:rFonts w:ascii="Liberation Sans Narrow" w:hAnsi="Liberation Sans Narrow" w:cs="Consolas"/>
          <w:sz w:val="24"/>
          <w:szCs w:val="24"/>
        </w:rPr>
        <w:tab/>
        <w:t>ИЗПЪЛНИТЕЛЕН ДИРЕКТОР</w:t>
      </w:r>
    </w:p>
    <w:sectPr w:rsidR="00E75B98" w:rsidRPr="008279CF" w:rsidSect="00F2791C">
      <w:footerReference w:type="default" r:id="rId8"/>
      <w:headerReference w:type="first" r:id="rId9"/>
      <w:pgSz w:w="11906" w:h="16838"/>
      <w:pgMar w:top="1417" w:right="991" w:bottom="993" w:left="1417" w:header="708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CDF" w:rsidRDefault="00203CDF" w:rsidP="0067783D">
      <w:pPr>
        <w:spacing w:after="0" w:line="240" w:lineRule="auto"/>
      </w:pPr>
      <w:r>
        <w:separator/>
      </w:r>
    </w:p>
  </w:endnote>
  <w:endnote w:type="continuationSeparator" w:id="0">
    <w:p w:rsidR="00203CDF" w:rsidRDefault="00203CDF" w:rsidP="00677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 Narrow">
    <w:altName w:val="Arial Narrow"/>
    <w:charset w:val="CC"/>
    <w:family w:val="swiss"/>
    <w:pitch w:val="variable"/>
    <w:sig w:usb0="00000001" w:usb1="500078FB" w:usb2="00000000" w:usb3="00000000" w:csb0="000000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CDF" w:rsidRPr="00D80761" w:rsidRDefault="00FA3FC2">
    <w:pPr>
      <w:pStyle w:val="a5"/>
      <w:rPr>
        <w:sz w:val="12"/>
        <w:szCs w:val="16"/>
      </w:rPr>
    </w:pPr>
    <w:r>
      <w:fldChar w:fldCharType="begin"/>
    </w:r>
    <w:r>
      <w:instrText xml:space="preserve"> FILENAME  \* Lower \p  \* MERGEFORMAT </w:instrText>
    </w:r>
    <w:r>
      <w:fldChar w:fldCharType="separate"/>
    </w:r>
    <w:r w:rsidR="006A1174" w:rsidRPr="006A1174">
      <w:rPr>
        <w:noProof/>
        <w:sz w:val="12"/>
        <w:szCs w:val="16"/>
      </w:rPr>
      <w:t>\</w:t>
    </w:r>
    <w:r w:rsidR="006A1174" w:rsidRPr="006A1174">
      <w:rPr>
        <w:noProof/>
        <w:sz w:val="12"/>
      </w:rPr>
      <w:t>\pp-vratza\docs\справки централи\цени 2016\обосновка цени 2016.docx</w:t>
    </w:r>
    <w:r>
      <w:rPr>
        <w:noProof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CDF" w:rsidRDefault="00203CDF" w:rsidP="0067783D">
      <w:pPr>
        <w:spacing w:after="0" w:line="240" w:lineRule="auto"/>
      </w:pPr>
      <w:r>
        <w:separator/>
      </w:r>
    </w:p>
  </w:footnote>
  <w:footnote w:type="continuationSeparator" w:id="0">
    <w:p w:rsidR="00203CDF" w:rsidRDefault="00203CDF" w:rsidP="00677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CDF" w:rsidRPr="00F64643" w:rsidRDefault="00203CDF" w:rsidP="000A7960">
    <w:pPr>
      <w:pStyle w:val="a3"/>
      <w:tabs>
        <w:tab w:val="clear" w:pos="4536"/>
        <w:tab w:val="clear" w:pos="9072"/>
      </w:tabs>
      <w:jc w:val="center"/>
      <w:rPr>
        <w:rFonts w:ascii="Bookman Old Style" w:hAnsi="Bookman Old Style"/>
        <w:b/>
        <w:color w:val="008080"/>
        <w:sz w:val="48"/>
        <w:szCs w:val="48"/>
        <w:u w:val="single"/>
      </w:rPr>
    </w:pPr>
    <w:r>
      <w:rPr>
        <w:rFonts w:ascii="Bookman Old Style" w:hAnsi="Bookman Old Style"/>
        <w:b/>
        <w:noProof/>
        <w:color w:val="008080"/>
        <w:sz w:val="48"/>
        <w:szCs w:val="48"/>
        <w:u w:val="singl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-569595</wp:posOffset>
          </wp:positionH>
          <wp:positionV relativeFrom="paragraph">
            <wp:posOffset>-220980</wp:posOffset>
          </wp:positionV>
          <wp:extent cx="838200" cy="838200"/>
          <wp:effectExtent l="0" t="0" r="0" b="0"/>
          <wp:wrapNone/>
          <wp:docPr id="3" name="Picture 2" descr="I:\TOOLS\TOPLO_ne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:\TOOLS\TOPLO_new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64643">
      <w:rPr>
        <w:rFonts w:ascii="Bookman Old Style" w:hAnsi="Bookman Old Style"/>
        <w:b/>
        <w:color w:val="008080"/>
        <w:sz w:val="48"/>
        <w:szCs w:val="48"/>
        <w:u w:val="single"/>
      </w:rPr>
      <w:t>ТОПЛОФИКАЦИЯ – ВРАЦА   ЕАД</w:t>
    </w:r>
  </w:p>
  <w:p w:rsidR="00203CDF" w:rsidRDefault="00203CDF" w:rsidP="000A7960">
    <w:pPr>
      <w:pStyle w:val="a3"/>
      <w:pBdr>
        <w:bottom w:val="single" w:sz="12" w:space="1" w:color="auto"/>
      </w:pBdr>
      <w:tabs>
        <w:tab w:val="clear" w:pos="4536"/>
      </w:tabs>
      <w:jc w:val="center"/>
      <w:rPr>
        <w:rFonts w:ascii="Bookman Old Style" w:hAnsi="Bookman Old Style"/>
        <w:sz w:val="16"/>
        <w:szCs w:val="16"/>
      </w:rPr>
    </w:pPr>
    <w:r w:rsidRPr="00F64643">
      <w:rPr>
        <w:rFonts w:ascii="Bookman Old Style" w:hAnsi="Bookman Old Style"/>
        <w:sz w:val="16"/>
        <w:szCs w:val="16"/>
      </w:rPr>
      <w:t>гр. Враца 3000, ул. “Максим Горки”  № 9, тел.</w:t>
    </w:r>
    <w:r>
      <w:rPr>
        <w:rFonts w:ascii="Bookman Old Style" w:hAnsi="Bookman Old Style"/>
        <w:sz w:val="16"/>
        <w:szCs w:val="16"/>
      </w:rPr>
      <w:t>/</w:t>
    </w:r>
    <w:r w:rsidRPr="00F64643">
      <w:rPr>
        <w:rFonts w:ascii="Bookman Old Style" w:hAnsi="Bookman Old Style"/>
        <w:sz w:val="16"/>
        <w:szCs w:val="16"/>
      </w:rPr>
      <w:t xml:space="preserve">факс 092 </w:t>
    </w:r>
    <w:r w:rsidRPr="00F64643">
      <w:rPr>
        <w:rFonts w:ascii="Bookman Old Style" w:hAnsi="Bookman Old Style"/>
        <w:sz w:val="16"/>
        <w:szCs w:val="16"/>
        <w:lang w:val="en-US"/>
      </w:rPr>
      <w:t>6</w:t>
    </w:r>
    <w:r>
      <w:rPr>
        <w:rFonts w:ascii="Bookman Old Style" w:hAnsi="Bookman Old Style"/>
        <w:sz w:val="16"/>
        <w:szCs w:val="16"/>
      </w:rPr>
      <w:t>68318</w:t>
    </w:r>
    <w:r w:rsidRPr="00F64643">
      <w:rPr>
        <w:rFonts w:ascii="Bookman Old Style" w:hAnsi="Bookman Old Style"/>
        <w:sz w:val="16"/>
        <w:szCs w:val="16"/>
      </w:rPr>
      <w:t xml:space="preserve">, </w:t>
    </w:r>
    <w:r w:rsidRPr="00F64643">
      <w:rPr>
        <w:rFonts w:ascii="Bookman Old Style" w:hAnsi="Bookman Old Style"/>
        <w:sz w:val="16"/>
        <w:szCs w:val="16"/>
        <w:lang w:val="en-US"/>
      </w:rPr>
      <w:t xml:space="preserve">e-mail: </w:t>
    </w:r>
    <w:hyperlink r:id="rId2" w:history="1">
      <w:r w:rsidRPr="00F64643">
        <w:rPr>
          <w:rStyle w:val="a7"/>
          <w:rFonts w:ascii="Bookman Old Style" w:hAnsi="Bookman Old Style"/>
          <w:sz w:val="16"/>
          <w:szCs w:val="16"/>
          <w:lang w:val="en-US"/>
        </w:rPr>
        <w:t>toplo_vr@m-real.net</w:t>
      </w:r>
    </w:hyperlink>
  </w:p>
  <w:p w:rsidR="00203CDF" w:rsidRDefault="00203CD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62A2"/>
    <w:multiLevelType w:val="hybridMultilevel"/>
    <w:tmpl w:val="5EB60118"/>
    <w:lvl w:ilvl="0" w:tplc="B4EC63D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2C64B2D"/>
    <w:multiLevelType w:val="hybridMultilevel"/>
    <w:tmpl w:val="7E26DD34"/>
    <w:lvl w:ilvl="0" w:tplc="0402000F">
      <w:start w:val="1"/>
      <w:numFmt w:val="decimal"/>
      <w:lvlText w:val="%1."/>
      <w:lvlJc w:val="left"/>
      <w:pPr>
        <w:ind w:left="1420" w:hanging="360"/>
      </w:pPr>
    </w:lvl>
    <w:lvl w:ilvl="1" w:tplc="04020019">
      <w:start w:val="1"/>
      <w:numFmt w:val="lowerLetter"/>
      <w:lvlText w:val="%2."/>
      <w:lvlJc w:val="left"/>
      <w:pPr>
        <w:ind w:left="2140" w:hanging="360"/>
      </w:pPr>
    </w:lvl>
    <w:lvl w:ilvl="2" w:tplc="0402001B" w:tentative="1">
      <w:start w:val="1"/>
      <w:numFmt w:val="lowerRoman"/>
      <w:lvlText w:val="%3."/>
      <w:lvlJc w:val="right"/>
      <w:pPr>
        <w:ind w:left="2860" w:hanging="180"/>
      </w:pPr>
    </w:lvl>
    <w:lvl w:ilvl="3" w:tplc="0402000F" w:tentative="1">
      <w:start w:val="1"/>
      <w:numFmt w:val="decimal"/>
      <w:lvlText w:val="%4."/>
      <w:lvlJc w:val="left"/>
      <w:pPr>
        <w:ind w:left="3580" w:hanging="360"/>
      </w:pPr>
    </w:lvl>
    <w:lvl w:ilvl="4" w:tplc="04020019" w:tentative="1">
      <w:start w:val="1"/>
      <w:numFmt w:val="lowerLetter"/>
      <w:lvlText w:val="%5."/>
      <w:lvlJc w:val="left"/>
      <w:pPr>
        <w:ind w:left="4300" w:hanging="360"/>
      </w:pPr>
    </w:lvl>
    <w:lvl w:ilvl="5" w:tplc="0402001B" w:tentative="1">
      <w:start w:val="1"/>
      <w:numFmt w:val="lowerRoman"/>
      <w:lvlText w:val="%6."/>
      <w:lvlJc w:val="right"/>
      <w:pPr>
        <w:ind w:left="5020" w:hanging="180"/>
      </w:pPr>
    </w:lvl>
    <w:lvl w:ilvl="6" w:tplc="0402000F" w:tentative="1">
      <w:start w:val="1"/>
      <w:numFmt w:val="decimal"/>
      <w:lvlText w:val="%7."/>
      <w:lvlJc w:val="left"/>
      <w:pPr>
        <w:ind w:left="5740" w:hanging="360"/>
      </w:pPr>
    </w:lvl>
    <w:lvl w:ilvl="7" w:tplc="04020019" w:tentative="1">
      <w:start w:val="1"/>
      <w:numFmt w:val="lowerLetter"/>
      <w:lvlText w:val="%8."/>
      <w:lvlJc w:val="left"/>
      <w:pPr>
        <w:ind w:left="6460" w:hanging="360"/>
      </w:pPr>
    </w:lvl>
    <w:lvl w:ilvl="8" w:tplc="0402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" w15:restartNumberingAfterBreak="0">
    <w:nsid w:val="5B2E35FA"/>
    <w:multiLevelType w:val="hybridMultilevel"/>
    <w:tmpl w:val="6A302A34"/>
    <w:lvl w:ilvl="0" w:tplc="FC7A5BD0">
      <w:start w:val="1"/>
      <w:numFmt w:val="decimal"/>
      <w:lvlText w:val="%1."/>
      <w:lvlJc w:val="left"/>
      <w:pPr>
        <w:ind w:left="1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0" w:hanging="360"/>
      </w:pPr>
    </w:lvl>
    <w:lvl w:ilvl="2" w:tplc="0402001B" w:tentative="1">
      <w:start w:val="1"/>
      <w:numFmt w:val="lowerRoman"/>
      <w:lvlText w:val="%3."/>
      <w:lvlJc w:val="right"/>
      <w:pPr>
        <w:ind w:left="3220" w:hanging="180"/>
      </w:pPr>
    </w:lvl>
    <w:lvl w:ilvl="3" w:tplc="0402000F" w:tentative="1">
      <w:start w:val="1"/>
      <w:numFmt w:val="decimal"/>
      <w:lvlText w:val="%4."/>
      <w:lvlJc w:val="left"/>
      <w:pPr>
        <w:ind w:left="3940" w:hanging="360"/>
      </w:pPr>
    </w:lvl>
    <w:lvl w:ilvl="4" w:tplc="04020019" w:tentative="1">
      <w:start w:val="1"/>
      <w:numFmt w:val="lowerLetter"/>
      <w:lvlText w:val="%5."/>
      <w:lvlJc w:val="left"/>
      <w:pPr>
        <w:ind w:left="4660" w:hanging="360"/>
      </w:pPr>
    </w:lvl>
    <w:lvl w:ilvl="5" w:tplc="0402001B" w:tentative="1">
      <w:start w:val="1"/>
      <w:numFmt w:val="lowerRoman"/>
      <w:lvlText w:val="%6."/>
      <w:lvlJc w:val="right"/>
      <w:pPr>
        <w:ind w:left="5380" w:hanging="180"/>
      </w:pPr>
    </w:lvl>
    <w:lvl w:ilvl="6" w:tplc="0402000F" w:tentative="1">
      <w:start w:val="1"/>
      <w:numFmt w:val="decimal"/>
      <w:lvlText w:val="%7."/>
      <w:lvlJc w:val="left"/>
      <w:pPr>
        <w:ind w:left="6100" w:hanging="360"/>
      </w:pPr>
    </w:lvl>
    <w:lvl w:ilvl="7" w:tplc="04020019" w:tentative="1">
      <w:start w:val="1"/>
      <w:numFmt w:val="lowerLetter"/>
      <w:lvlText w:val="%8."/>
      <w:lvlJc w:val="left"/>
      <w:pPr>
        <w:ind w:left="6820" w:hanging="360"/>
      </w:pPr>
    </w:lvl>
    <w:lvl w:ilvl="8" w:tplc="0402001B" w:tentative="1">
      <w:start w:val="1"/>
      <w:numFmt w:val="lowerRoman"/>
      <w:lvlText w:val="%9."/>
      <w:lvlJc w:val="right"/>
      <w:pPr>
        <w:ind w:left="75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C1E"/>
    <w:rsid w:val="00044974"/>
    <w:rsid w:val="00067392"/>
    <w:rsid w:val="00084312"/>
    <w:rsid w:val="00090818"/>
    <w:rsid w:val="00094262"/>
    <w:rsid w:val="000A0872"/>
    <w:rsid w:val="000A2AC4"/>
    <w:rsid w:val="000A7960"/>
    <w:rsid w:val="000D0C07"/>
    <w:rsid w:val="0010564C"/>
    <w:rsid w:val="00127235"/>
    <w:rsid w:val="0013530C"/>
    <w:rsid w:val="00153AD2"/>
    <w:rsid w:val="0015541D"/>
    <w:rsid w:val="00162E2A"/>
    <w:rsid w:val="00166FB2"/>
    <w:rsid w:val="001758D7"/>
    <w:rsid w:val="001906FB"/>
    <w:rsid w:val="001919E2"/>
    <w:rsid w:val="0019545A"/>
    <w:rsid w:val="001A07AB"/>
    <w:rsid w:val="001A10F8"/>
    <w:rsid w:val="001B6DC2"/>
    <w:rsid w:val="001E0C1E"/>
    <w:rsid w:val="001E2F52"/>
    <w:rsid w:val="001F0AD4"/>
    <w:rsid w:val="001F32EF"/>
    <w:rsid w:val="001F6A4B"/>
    <w:rsid w:val="00200C1B"/>
    <w:rsid w:val="00200DFB"/>
    <w:rsid w:val="00203CDF"/>
    <w:rsid w:val="00213437"/>
    <w:rsid w:val="00240130"/>
    <w:rsid w:val="002566DE"/>
    <w:rsid w:val="0027039B"/>
    <w:rsid w:val="0028057B"/>
    <w:rsid w:val="002C08C3"/>
    <w:rsid w:val="002D5B22"/>
    <w:rsid w:val="002D6AF5"/>
    <w:rsid w:val="003024BD"/>
    <w:rsid w:val="00316597"/>
    <w:rsid w:val="00317F3E"/>
    <w:rsid w:val="00321EE1"/>
    <w:rsid w:val="00331A92"/>
    <w:rsid w:val="003326D5"/>
    <w:rsid w:val="003567A9"/>
    <w:rsid w:val="003729CB"/>
    <w:rsid w:val="003954F4"/>
    <w:rsid w:val="00397972"/>
    <w:rsid w:val="003B4DA7"/>
    <w:rsid w:val="003E0FA3"/>
    <w:rsid w:val="003E5116"/>
    <w:rsid w:val="003F5083"/>
    <w:rsid w:val="004118A8"/>
    <w:rsid w:val="00412DCE"/>
    <w:rsid w:val="004261EF"/>
    <w:rsid w:val="00440793"/>
    <w:rsid w:val="00481321"/>
    <w:rsid w:val="004A65B2"/>
    <w:rsid w:val="004A6F2A"/>
    <w:rsid w:val="004F126F"/>
    <w:rsid w:val="00517CCD"/>
    <w:rsid w:val="005625BF"/>
    <w:rsid w:val="00564B07"/>
    <w:rsid w:val="005731E1"/>
    <w:rsid w:val="00585E67"/>
    <w:rsid w:val="005B24FB"/>
    <w:rsid w:val="005B3B48"/>
    <w:rsid w:val="005D04A6"/>
    <w:rsid w:val="005D4659"/>
    <w:rsid w:val="005F3455"/>
    <w:rsid w:val="00605970"/>
    <w:rsid w:val="00632154"/>
    <w:rsid w:val="00637690"/>
    <w:rsid w:val="00642907"/>
    <w:rsid w:val="006508BF"/>
    <w:rsid w:val="00665ED0"/>
    <w:rsid w:val="006733AD"/>
    <w:rsid w:val="0067783D"/>
    <w:rsid w:val="006A1174"/>
    <w:rsid w:val="006A4A67"/>
    <w:rsid w:val="006B62DC"/>
    <w:rsid w:val="006E73FA"/>
    <w:rsid w:val="006F523C"/>
    <w:rsid w:val="007231C4"/>
    <w:rsid w:val="00743507"/>
    <w:rsid w:val="007475FF"/>
    <w:rsid w:val="0076115D"/>
    <w:rsid w:val="00770391"/>
    <w:rsid w:val="00780F79"/>
    <w:rsid w:val="007A3836"/>
    <w:rsid w:val="007A50A0"/>
    <w:rsid w:val="007C5792"/>
    <w:rsid w:val="007C62DF"/>
    <w:rsid w:val="007D29B8"/>
    <w:rsid w:val="007F5204"/>
    <w:rsid w:val="00822B28"/>
    <w:rsid w:val="008279CF"/>
    <w:rsid w:val="00832328"/>
    <w:rsid w:val="008529F7"/>
    <w:rsid w:val="00864AA6"/>
    <w:rsid w:val="00881F0D"/>
    <w:rsid w:val="00886E73"/>
    <w:rsid w:val="008948B7"/>
    <w:rsid w:val="008B3101"/>
    <w:rsid w:val="008B4013"/>
    <w:rsid w:val="008F2A4E"/>
    <w:rsid w:val="0091389A"/>
    <w:rsid w:val="00913ECB"/>
    <w:rsid w:val="00937DE6"/>
    <w:rsid w:val="00951F93"/>
    <w:rsid w:val="00957498"/>
    <w:rsid w:val="00972DB5"/>
    <w:rsid w:val="009B57DE"/>
    <w:rsid w:val="009E138B"/>
    <w:rsid w:val="009E53A6"/>
    <w:rsid w:val="009F10FB"/>
    <w:rsid w:val="00A07CFC"/>
    <w:rsid w:val="00A22771"/>
    <w:rsid w:val="00A30F54"/>
    <w:rsid w:val="00A30FCC"/>
    <w:rsid w:val="00A349FB"/>
    <w:rsid w:val="00A90995"/>
    <w:rsid w:val="00AA0738"/>
    <w:rsid w:val="00AB40FA"/>
    <w:rsid w:val="00AC7574"/>
    <w:rsid w:val="00AD0032"/>
    <w:rsid w:val="00AD46C0"/>
    <w:rsid w:val="00AF2CBE"/>
    <w:rsid w:val="00B20B79"/>
    <w:rsid w:val="00B35DE5"/>
    <w:rsid w:val="00B5082A"/>
    <w:rsid w:val="00B62869"/>
    <w:rsid w:val="00B74F8F"/>
    <w:rsid w:val="00B911DB"/>
    <w:rsid w:val="00BA4C7A"/>
    <w:rsid w:val="00BD057E"/>
    <w:rsid w:val="00BE7669"/>
    <w:rsid w:val="00BF0E90"/>
    <w:rsid w:val="00BF0FF4"/>
    <w:rsid w:val="00BF2210"/>
    <w:rsid w:val="00BF79BB"/>
    <w:rsid w:val="00C05FBA"/>
    <w:rsid w:val="00C20E07"/>
    <w:rsid w:val="00C27882"/>
    <w:rsid w:val="00C60EBE"/>
    <w:rsid w:val="00C81BE5"/>
    <w:rsid w:val="00C82407"/>
    <w:rsid w:val="00C839B8"/>
    <w:rsid w:val="00C9409D"/>
    <w:rsid w:val="00C943B3"/>
    <w:rsid w:val="00C94F1A"/>
    <w:rsid w:val="00CB74BA"/>
    <w:rsid w:val="00CD765D"/>
    <w:rsid w:val="00CE2AE3"/>
    <w:rsid w:val="00CF7835"/>
    <w:rsid w:val="00D02E50"/>
    <w:rsid w:val="00D15B47"/>
    <w:rsid w:val="00D36084"/>
    <w:rsid w:val="00D458A2"/>
    <w:rsid w:val="00D531B5"/>
    <w:rsid w:val="00D616B8"/>
    <w:rsid w:val="00D61798"/>
    <w:rsid w:val="00D63E68"/>
    <w:rsid w:val="00D64105"/>
    <w:rsid w:val="00D77DB8"/>
    <w:rsid w:val="00D80761"/>
    <w:rsid w:val="00D93B06"/>
    <w:rsid w:val="00DC011A"/>
    <w:rsid w:val="00DC1A5C"/>
    <w:rsid w:val="00DC489D"/>
    <w:rsid w:val="00E00B32"/>
    <w:rsid w:val="00E01308"/>
    <w:rsid w:val="00E01543"/>
    <w:rsid w:val="00E016DF"/>
    <w:rsid w:val="00E01DF7"/>
    <w:rsid w:val="00E23FD5"/>
    <w:rsid w:val="00E25B26"/>
    <w:rsid w:val="00E44EBF"/>
    <w:rsid w:val="00E54116"/>
    <w:rsid w:val="00E60216"/>
    <w:rsid w:val="00E6037C"/>
    <w:rsid w:val="00E75B98"/>
    <w:rsid w:val="00E761B4"/>
    <w:rsid w:val="00E80A77"/>
    <w:rsid w:val="00E86F21"/>
    <w:rsid w:val="00EA5453"/>
    <w:rsid w:val="00EA6111"/>
    <w:rsid w:val="00EC0499"/>
    <w:rsid w:val="00EC3296"/>
    <w:rsid w:val="00EC5F02"/>
    <w:rsid w:val="00EF5B97"/>
    <w:rsid w:val="00F01444"/>
    <w:rsid w:val="00F036DF"/>
    <w:rsid w:val="00F07959"/>
    <w:rsid w:val="00F07FEA"/>
    <w:rsid w:val="00F26534"/>
    <w:rsid w:val="00F2662C"/>
    <w:rsid w:val="00F2791C"/>
    <w:rsid w:val="00F43936"/>
    <w:rsid w:val="00F550CD"/>
    <w:rsid w:val="00F70846"/>
    <w:rsid w:val="00F82A59"/>
    <w:rsid w:val="00FA3FC2"/>
    <w:rsid w:val="00FB3C66"/>
    <w:rsid w:val="00FC6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4948B84A"/>
  <w15:docId w15:val="{36DD2D61-A869-438B-BC72-88C36F7CA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F26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77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67783D"/>
  </w:style>
  <w:style w:type="paragraph" w:styleId="a5">
    <w:name w:val="footer"/>
    <w:basedOn w:val="a"/>
    <w:link w:val="a6"/>
    <w:uiPriority w:val="99"/>
    <w:unhideWhenUsed/>
    <w:rsid w:val="006778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7783D"/>
  </w:style>
  <w:style w:type="character" w:styleId="a7">
    <w:name w:val="Hyperlink"/>
    <w:basedOn w:val="a0"/>
    <w:rsid w:val="0067783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E0C1E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0A7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План на документа Знак"/>
    <w:basedOn w:val="a0"/>
    <w:link w:val="a9"/>
    <w:uiPriority w:val="99"/>
    <w:semiHidden/>
    <w:rsid w:val="000A7960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F27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7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toplo_vr@m-real.net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57B64-9D6E-4171-A7CC-AAB30583B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1412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Petkov</dc:creator>
  <cp:lastModifiedBy>Petko Petkov</cp:lastModifiedBy>
  <cp:revision>2</cp:revision>
  <cp:lastPrinted>2016-03-31T14:40:00Z</cp:lastPrinted>
  <dcterms:created xsi:type="dcterms:W3CDTF">2016-03-31T14:47:00Z</dcterms:created>
  <dcterms:modified xsi:type="dcterms:W3CDTF">2016-03-31T14:47:00Z</dcterms:modified>
</cp:coreProperties>
</file>